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29B" w:rsidRDefault="00B0629B">
      <w:pPr>
        <w:rPr>
          <w:rFonts w:ascii="Times New Roman" w:hAnsi="Times New Roman" w:cs="Times New Roman"/>
        </w:rPr>
      </w:pPr>
      <w:r>
        <w:t>(acquireAcquisition)</w:t>
      </w:r>
    </w:p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b/>
          <w:bCs/>
        </w:rPr>
      </w:pPr>
      <w:r>
        <w:rPr>
          <w:b/>
          <w:bCs/>
        </w:rPr>
        <w:t>Acquisire: acquisizione dell’immagine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12"/>
        <w:gridCol w:w="2866"/>
      </w:tblGrid>
      <w:tr w:rsidR="00B0629B">
        <w:trPr>
          <w:cantSplit/>
        </w:trPr>
        <w:tc>
          <w:tcPr>
            <w:tcW w:w="6912" w:type="dxa"/>
          </w:tcPr>
          <w:p w:rsidR="00B0629B" w:rsidRDefault="00B0629B">
            <w:pPr>
              <w:spacing w:after="0" w:line="240" w:lineRule="auto"/>
            </w:pPr>
            <w:r>
              <w:t>Quando la finestra di acquisizione è in modalità fotocamera, l’immagine viene visualizzata in tempo reale. Passandovi sopra con il mouse vengono visualizzate automaticamente le seguenti opzioni:</w:t>
            </w:r>
          </w:p>
          <w:p w:rsidR="00B0629B" w:rsidRDefault="00B0629B">
            <w:pPr>
              <w:spacing w:after="0" w:line="240" w:lineRule="auto"/>
            </w:pPr>
          </w:p>
        </w:tc>
        <w:tc>
          <w:tcPr>
            <w:tcW w:w="2866" w:type="dxa"/>
            <w:vMerge w:val="restart"/>
          </w:tcPr>
          <w:p w:rsidR="00B0629B" w:rsidRDefault="00B0629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/>
            </w:pPr>
            <w:r>
              <w:t>L’icona “Fotocamera” è attiva solo se al computer è collegato un dispositivo di acquisizione.</w:t>
            </w:r>
          </w:p>
          <w:p w:rsidR="00B0629B" w:rsidRDefault="00B0629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/>
            </w:pPr>
            <w:r>
              <w:t>Se non vengono visualizzate immagini, è possibile spostarsi su un’altra zona arteriosa facendo clic sulla sagoma.</w:t>
            </w:r>
          </w:p>
        </w:tc>
      </w:tr>
      <w:tr w:rsidR="00B0629B">
        <w:trPr>
          <w:cantSplit/>
        </w:trPr>
        <w:tc>
          <w:tcPr>
            <w:tcW w:w="6912" w:type="dxa"/>
          </w:tcPr>
          <w:p w:rsidR="00B0629B" w:rsidRDefault="00B0629B">
            <w:pPr>
              <w:spacing w:after="0" w:line="240" w:lineRule="auto"/>
              <w:ind w:left="1276" w:hanging="1276"/>
            </w:pPr>
            <w:r>
              <w:rPr>
                <w:color w:val="FF0000"/>
              </w:rPr>
              <w:t xml:space="preserve">Acquisizione </w:t>
            </w:r>
            <w:r>
              <w:t>“Fissa” l’immagine in corso che è quindi pronta per l’assegnazione.</w:t>
            </w:r>
          </w:p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6" w:type="dxa"/>
            <w:vMerge/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0629B">
        <w:trPr>
          <w:cantSplit/>
        </w:trPr>
        <w:tc>
          <w:tcPr>
            <w:tcW w:w="6912" w:type="dxa"/>
          </w:tcPr>
          <w:p w:rsidR="00B0629B" w:rsidRDefault="00B0629B">
            <w:pPr>
              <w:spacing w:after="0" w:line="240" w:lineRule="auto"/>
              <w:ind w:left="1560" w:hanging="1560"/>
            </w:pPr>
            <w:r>
              <w:rPr>
                <w:color w:val="FF0000"/>
              </w:rPr>
              <w:t xml:space="preserve">Cambia sorgente </w:t>
            </w:r>
            <w:r>
              <w:t>Permette di selezionare la fotocamera (per es. nel caso in cui oltre alla sonda fosse collegata una webcam).</w:t>
            </w:r>
          </w:p>
        </w:tc>
        <w:tc>
          <w:tcPr>
            <w:tcW w:w="2866" w:type="dxa"/>
            <w:vMerge/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0629B">
        <w:trPr>
          <w:cantSplit/>
        </w:trPr>
        <w:tc>
          <w:tcPr>
            <w:tcW w:w="6912" w:type="dxa"/>
          </w:tcPr>
          <w:p w:rsidR="00B0629B" w:rsidRDefault="00B0629B">
            <w:pPr>
              <w:spacing w:after="0" w:line="240" w:lineRule="auto"/>
              <w:ind w:left="993" w:hanging="993"/>
              <w:rPr>
                <w:rFonts w:ascii="Times New Roman" w:hAnsi="Times New Roman" w:cs="Times New Roman"/>
                <w:color w:val="FF0000"/>
              </w:rPr>
            </w:pPr>
            <w:r>
              <w:rPr>
                <w:color w:val="FF0000"/>
              </w:rPr>
              <w:t xml:space="preserve">Parametri  </w:t>
            </w:r>
            <w:r>
              <w:t>Permette di autorizzare l’applicazione ad accedere alla fotocamera (per es. se accedendo all’applicazione questa autorizzazione è stata rifiutata).</w:t>
            </w:r>
          </w:p>
        </w:tc>
        <w:tc>
          <w:tcPr>
            <w:tcW w:w="2866" w:type="dxa"/>
            <w:vMerge/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0629B">
        <w:tc>
          <w:tcPr>
            <w:tcW w:w="9778" w:type="dxa"/>
            <w:gridSpan w:val="2"/>
          </w:tcPr>
          <w:p w:rsidR="00B0629B" w:rsidRDefault="00B0629B">
            <w:pPr>
              <w:spacing w:after="0" w:line="240" w:lineRule="auto"/>
            </w:pPr>
            <w:r>
              <w:t>L’icona Cartella permette di scegliere un’immagine memorizzata in precedenza in un formato generico (JPG, PNG, TIFF, ecc.) o DICOM.</w:t>
            </w:r>
          </w:p>
        </w:tc>
      </w:tr>
    </w:tbl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r>
        <w:rPr>
          <w:rFonts w:ascii="Times New Roman" w:hAnsi="Times New Roman" w:cs="Times New Roman"/>
        </w:rPr>
        <w:br w:type="page"/>
      </w:r>
      <w:r>
        <w:t>(acquireAffectation)</w:t>
      </w:r>
    </w:p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b/>
          <w:bCs/>
        </w:rPr>
      </w:pPr>
      <w:r>
        <w:rPr>
          <w:b/>
          <w:bCs/>
        </w:rPr>
        <w:t>Acquisire: assegnazione delle immagini</w:t>
      </w:r>
    </w:p>
    <w:p w:rsidR="00B0629B" w:rsidRDefault="00B0629B">
      <w:pPr>
        <w:ind w:left="5103"/>
      </w:pPr>
      <w:r>
        <w:t>L’assegnazione è possibile solo dopo aver selezionato un’immagine per cartella o un’acquisizione di immagine per fotocamera.</w:t>
      </w:r>
    </w:p>
    <w:p w:rsidR="00B0629B" w:rsidRDefault="00B0629B">
      <w:pPr>
        <w:pStyle w:val="ListParagraph"/>
        <w:numPr>
          <w:ilvl w:val="0"/>
          <w:numId w:val="2"/>
        </w:numPr>
        <w:ind w:left="426"/>
        <w:rPr>
          <w:rFonts w:ascii="Times New Roman" w:hAnsi="Times New Roman" w:cs="Times New Roman"/>
        </w:rPr>
      </w:pPr>
      <w:r>
        <w:t xml:space="preserve">Fare clic con il tasto sinistro del mouse sull’immagine e </w:t>
      </w:r>
      <w:r>
        <w:rPr>
          <w:color w:val="FF0000"/>
        </w:rPr>
        <w:t>tenerlo premuto</w:t>
      </w:r>
      <w:r>
        <w:rPr>
          <w:rFonts w:ascii="Times New Roman" w:hAnsi="Times New Roman" w:cs="Times New Roman"/>
        </w:rPr>
        <w:t>.</w:t>
      </w:r>
    </w:p>
    <w:p w:rsidR="00B0629B" w:rsidRDefault="00B0629B">
      <w:pPr>
        <w:pStyle w:val="ListParagraph"/>
        <w:numPr>
          <w:ilvl w:val="0"/>
          <w:numId w:val="2"/>
        </w:numPr>
        <w:ind w:left="426"/>
        <w:rPr>
          <w:rFonts w:ascii="Times New Roman" w:hAnsi="Times New Roman" w:cs="Times New Roman"/>
        </w:rPr>
      </w:pPr>
      <w:r>
        <w:t xml:space="preserve">Far </w:t>
      </w:r>
      <w:r>
        <w:rPr>
          <w:color w:val="FF0000"/>
        </w:rPr>
        <w:t>scivolare l’immagine</w:t>
      </w:r>
      <w:r>
        <w:t xml:space="preserve"> sul segmento arterioso corrispondente nella </w:t>
      </w:r>
      <w:r>
        <w:rPr>
          <w:color w:val="FF0000"/>
        </w:rPr>
        <w:t>zona “visualizzazione”</w:t>
      </w:r>
      <w:r>
        <w:rPr>
          <w:rFonts w:ascii="Times New Roman" w:hAnsi="Times New Roman" w:cs="Times New Roman"/>
        </w:rPr>
        <w:t>.</w:t>
      </w:r>
    </w:p>
    <w:p w:rsidR="00B0629B" w:rsidRDefault="00B0629B">
      <w:pPr>
        <w:pStyle w:val="ListParagraph"/>
        <w:numPr>
          <w:ilvl w:val="0"/>
          <w:numId w:val="2"/>
        </w:numPr>
        <w:ind w:left="426"/>
        <w:rPr>
          <w:rFonts w:ascii="Times New Roman" w:hAnsi="Times New Roman" w:cs="Times New Roman"/>
        </w:rPr>
      </w:pPr>
      <w:r>
        <w:t xml:space="preserve">Passando con il mouse, i segmenti arteriosi diventano </w:t>
      </w:r>
      <w:r>
        <w:rPr>
          <w:color w:val="FF0000"/>
        </w:rPr>
        <w:t>rossi</w:t>
      </w:r>
      <w:r>
        <w:rPr>
          <w:rFonts w:ascii="Times New Roman" w:hAnsi="Times New Roman" w:cs="Times New Roman"/>
        </w:rPr>
        <w:t>.</w:t>
      </w:r>
    </w:p>
    <w:p w:rsidR="00B0629B" w:rsidRDefault="00B0629B">
      <w:pPr>
        <w:pStyle w:val="ListParagraph"/>
        <w:numPr>
          <w:ilvl w:val="0"/>
          <w:numId w:val="2"/>
        </w:numPr>
        <w:ind w:left="426"/>
        <w:rPr>
          <w:rFonts w:ascii="Times New Roman" w:hAnsi="Times New Roman" w:cs="Times New Roman"/>
        </w:rPr>
      </w:pPr>
      <w:r>
        <w:t xml:space="preserve">Rilasciare il tasto sinistro </w:t>
      </w:r>
      <w:r>
        <w:rPr>
          <w:color w:val="FF0000"/>
        </w:rPr>
        <w:t>per posizionare l’immagine sul segmento desiderato</w:t>
      </w:r>
      <w:r>
        <w:rPr>
          <w:rFonts w:ascii="Times New Roman" w:hAnsi="Times New Roman" w:cs="Times New Roman"/>
        </w:rPr>
        <w:t>.</w:t>
      </w:r>
    </w:p>
    <w:p w:rsidR="00B0629B" w:rsidRDefault="00B0629B">
      <w:r>
        <w:t>Una volta effettuata l’assegnazione, il segmento si colora di rosso e l’immagine viene visualizzata nella zona “Visualizzazione”.</w:t>
      </w: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t>(acquireArterySelection)</w:t>
      </w:r>
    </w:p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b/>
          <w:bCs/>
        </w:rPr>
      </w:pPr>
      <w:r>
        <w:rPr>
          <w:b/>
          <w:bCs/>
        </w:rPr>
        <w:t>Acquisire: scelta del territorio arterioso</w:t>
      </w:r>
    </w:p>
    <w:p w:rsidR="00B0629B" w:rsidRDefault="00B0629B">
      <w:r>
        <w:t>Selezionare la regione vascolare desiderata facendo clic sul segmento del corpo corrispondente. Sarete ridiretti automaticamente alla pagina di acquisizione.</w:t>
      </w: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t>(acquireGlobalProcess)</w:t>
      </w:r>
    </w:p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b/>
          <w:bCs/>
        </w:rPr>
      </w:pPr>
      <w:r>
        <w:rPr>
          <w:b/>
          <w:bCs/>
        </w:rPr>
        <w:t>Acquisire: processo globale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59"/>
        <w:gridCol w:w="3259"/>
        <w:gridCol w:w="536"/>
        <w:gridCol w:w="2724"/>
      </w:tblGrid>
      <w:tr w:rsidR="00B0629B">
        <w:tc>
          <w:tcPr>
            <w:tcW w:w="7054" w:type="dxa"/>
            <w:gridSpan w:val="3"/>
          </w:tcPr>
          <w:p w:rsidR="00B0629B" w:rsidRDefault="00B0629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6"/>
            </w:pPr>
            <w:r>
              <w:rPr>
                <w:color w:val="FF0000"/>
              </w:rPr>
              <w:t>Durante il processo</w:t>
            </w:r>
            <w:r>
              <w:t xml:space="preserve"> è possibile acquisire </w:t>
            </w:r>
            <w:r>
              <w:rPr>
                <w:color w:val="FF0000"/>
              </w:rPr>
              <w:t>più immagini</w:t>
            </w:r>
            <w:r>
              <w:t>. Ciascuna di esse può essere assegnata a una delle arterie disponibili sullo schema visualizzato, corrispondente alla regione vascolare scelta.</w:t>
            </w:r>
          </w:p>
          <w:p w:rsidR="00B0629B" w:rsidRDefault="00B0629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6"/>
            </w:pPr>
            <w:r>
              <w:t xml:space="preserve">È altresì possibile attribuire a ciascuna arteria una lesione osservata: placca, stenosi, occlusione, e </w:t>
            </w:r>
            <w:r>
              <w:rPr>
                <w:color w:val="FF0000"/>
              </w:rPr>
              <w:t>posizionarla nel posto adeguato</w:t>
            </w:r>
            <w:r>
              <w:t xml:space="preserve"> sullo schema.</w:t>
            </w:r>
          </w:p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</w:tcPr>
          <w:p w:rsidR="00B0629B" w:rsidRDefault="00B0629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9"/>
            </w:pPr>
            <w:r>
              <w:t xml:space="preserve">Finché non sarà stata assegnata alcuna immagine a un’arteria, sarà possibile </w:t>
            </w:r>
            <w:r>
              <w:rPr>
                <w:color w:val="FF0000"/>
              </w:rPr>
              <w:t>lasciare l’appuntamento e ritornarci successivamente</w:t>
            </w:r>
            <w:r>
              <w:t xml:space="preserve"> in modalità acquisizione.</w:t>
            </w:r>
          </w:p>
          <w:p w:rsidR="00B0629B" w:rsidRDefault="00B0629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hAnsi="Times New Roman" w:cs="Times New Roman"/>
              </w:rPr>
            </w:pPr>
            <w:r>
              <w:t xml:space="preserve">In caso contrario, uscendo dall’appuntamento si “fissa” l’acquisizione e </w:t>
            </w:r>
            <w:r>
              <w:rPr>
                <w:color w:val="FF0000"/>
              </w:rPr>
              <w:t>il menu diventa “Visualizzare”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0629B">
        <w:tc>
          <w:tcPr>
            <w:tcW w:w="3259" w:type="dxa"/>
            <w:shd w:val="clear" w:color="auto" w:fill="FF6565"/>
          </w:tcPr>
          <w:p w:rsidR="00B0629B" w:rsidRDefault="00B0629B">
            <w:pPr>
              <w:spacing w:after="0" w:line="240" w:lineRule="auto"/>
            </w:pPr>
            <w:r>
              <w:t xml:space="preserve">Acquisizione mediante sonda            </w:t>
            </w:r>
          </w:p>
          <w:p w:rsidR="00B0629B" w:rsidRDefault="00B0629B">
            <w:pPr>
              <w:spacing w:after="0" w:line="240" w:lineRule="auto"/>
            </w:pPr>
            <w:r>
              <w:t>o                                                     -&gt;</w:t>
            </w:r>
          </w:p>
          <w:p w:rsidR="00B0629B" w:rsidRDefault="00B0629B">
            <w:pPr>
              <w:spacing w:after="0" w:line="240" w:lineRule="auto"/>
            </w:pPr>
            <w:r>
              <w:t xml:space="preserve">Acquisizione mediante cartella </w:t>
            </w:r>
          </w:p>
        </w:tc>
        <w:tc>
          <w:tcPr>
            <w:tcW w:w="3259" w:type="dxa"/>
            <w:shd w:val="clear" w:color="auto" w:fill="FF6565"/>
          </w:tcPr>
          <w:p w:rsidR="00B0629B" w:rsidRDefault="00B0629B">
            <w:pPr>
              <w:spacing w:after="0" w:line="240" w:lineRule="auto"/>
            </w:pPr>
            <w:r>
              <w:t xml:space="preserve">Assegnazione dell’immagine all’arteria interessata  -&gt; </w:t>
            </w:r>
          </w:p>
        </w:tc>
        <w:tc>
          <w:tcPr>
            <w:tcW w:w="3260" w:type="dxa"/>
            <w:gridSpan w:val="2"/>
            <w:shd w:val="clear" w:color="auto" w:fill="FF6565"/>
          </w:tcPr>
          <w:p w:rsidR="00B0629B" w:rsidRDefault="00B0629B">
            <w:pPr>
              <w:spacing w:after="0" w:line="240" w:lineRule="auto"/>
            </w:pPr>
            <w:r>
              <w:t>Assegnazione delle lesioni all’arteria interessata</w:t>
            </w:r>
          </w:p>
        </w:tc>
      </w:tr>
    </w:tbl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t>(acquireLesions)</w:t>
      </w:r>
    </w:p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rFonts w:ascii="Times New Roman" w:hAnsi="Times New Roman" w:cs="Times New Roman"/>
          <w:b/>
          <w:bCs/>
        </w:rPr>
      </w:pPr>
      <w:r>
        <w:rPr>
          <w:b/>
          <w:bCs/>
        </w:rPr>
        <w:t>Acquisire: assegnazione delle lesioni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7"/>
        <w:gridCol w:w="1134"/>
        <w:gridCol w:w="1418"/>
        <w:gridCol w:w="6409"/>
      </w:tblGrid>
      <w:tr w:rsidR="00B0629B">
        <w:tc>
          <w:tcPr>
            <w:tcW w:w="817" w:type="dxa"/>
            <w:shd w:val="clear" w:color="auto" w:fill="FF5050"/>
          </w:tcPr>
          <w:p w:rsidR="00B0629B" w:rsidRDefault="00B0629B">
            <w:pPr>
              <w:spacing w:after="0" w:line="240" w:lineRule="auto"/>
            </w:pPr>
            <w:r>
              <w:t>Placca</w:t>
            </w:r>
          </w:p>
        </w:tc>
        <w:tc>
          <w:tcPr>
            <w:tcW w:w="1134" w:type="dxa"/>
            <w:shd w:val="clear" w:color="auto" w:fill="99CC00"/>
          </w:tcPr>
          <w:p w:rsidR="00B0629B" w:rsidRDefault="00B0629B">
            <w:pPr>
              <w:spacing w:after="0" w:line="240" w:lineRule="auto"/>
            </w:pPr>
            <w:r>
              <w:t>Stenosi</w:t>
            </w:r>
          </w:p>
        </w:tc>
        <w:tc>
          <w:tcPr>
            <w:tcW w:w="1418" w:type="dxa"/>
            <w:shd w:val="clear" w:color="auto" w:fill="FF5050"/>
          </w:tcPr>
          <w:p w:rsidR="00B0629B" w:rsidRDefault="00B0629B">
            <w:pPr>
              <w:spacing w:after="0" w:line="240" w:lineRule="auto"/>
            </w:pPr>
            <w:r>
              <w:t xml:space="preserve">Occlusione </w:t>
            </w:r>
          </w:p>
        </w:tc>
        <w:tc>
          <w:tcPr>
            <w:tcW w:w="6409" w:type="dxa"/>
          </w:tcPr>
          <w:p w:rsidR="00B0629B" w:rsidRDefault="00B0629B">
            <w:pPr>
              <w:spacing w:after="0" w:line="240" w:lineRule="auto"/>
              <w:ind w:left="600" w:hanging="567"/>
              <w:rPr>
                <w:rFonts w:ascii="Times New Roman" w:hAnsi="Times New Roman" w:cs="Times New Roman"/>
              </w:rPr>
            </w:pPr>
            <w:r>
              <w:t xml:space="preserve">(1)       Fare clic sul tipo di lesione che si intende posizionare. Il pulsante </w:t>
            </w:r>
            <w:r>
              <w:rPr>
                <w:color w:val="00B050"/>
              </w:rPr>
              <w:t>diventa verde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ind w:left="709" w:hanging="709"/>
        <w:rPr>
          <w:rFonts w:ascii="Times New Roman" w:hAnsi="Times New Roman" w:cs="Times New Roman"/>
        </w:rPr>
      </w:pPr>
      <w:r>
        <w:t xml:space="preserve">(2) </w:t>
      </w:r>
      <w:r>
        <w:tab/>
        <w:t xml:space="preserve">Fare clic sul punto in cui si trova la lesione sul segmento desiderato. Il simbolo della lesione scelta si posiziona sul segmento </w:t>
      </w:r>
      <w:r>
        <w:rPr>
          <w:color w:val="FF0000"/>
        </w:rPr>
        <w:t>nel punto preciso in cui si fa clic con il mouse</w:t>
      </w:r>
      <w:r>
        <w:rPr>
          <w:rFonts w:ascii="Times New Roman" w:hAnsi="Times New Roman" w:cs="Times New Roman"/>
        </w:rPr>
        <w:t>.</w:t>
      </w:r>
    </w:p>
    <w:p w:rsidR="00B0629B" w:rsidRDefault="00B0629B">
      <w:pPr>
        <w:ind w:left="709" w:hanging="709"/>
      </w:pPr>
      <w:r>
        <w:t>È possibile ripetere l’operazione tutte le volte che si rende necessario con i diversi tipi di lesioni.</w:t>
      </w: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t>(acquireThumbnail)</w:t>
      </w:r>
    </w:p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ind w:left="709" w:hanging="709"/>
        <w:rPr>
          <w:rFonts w:ascii="Times New Roman" w:hAnsi="Times New Roman" w:cs="Times New Roman"/>
          <w:b/>
          <w:bCs/>
        </w:rPr>
      </w:pPr>
      <w:r>
        <w:rPr>
          <w:b/>
          <w:bCs/>
        </w:rPr>
        <w:t>Acquisire: incidenza e zona di assegnazione sinistra/destra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59"/>
        <w:gridCol w:w="3259"/>
        <w:gridCol w:w="3260"/>
      </w:tblGrid>
      <w:tr w:rsidR="00B0629B">
        <w:tc>
          <w:tcPr>
            <w:tcW w:w="3259" w:type="dxa"/>
          </w:tcPr>
          <w:p w:rsidR="00B0629B" w:rsidRDefault="00B0629B">
            <w:pPr>
              <w:spacing w:after="0" w:line="240" w:lineRule="auto"/>
            </w:pPr>
            <w:r>
              <w:t xml:space="preserve">Incidenza  </w:t>
            </w:r>
          </w:p>
          <w:p w:rsidR="00B0629B" w:rsidRDefault="00B0629B">
            <w:pPr>
              <w:spacing w:after="0" w:line="240" w:lineRule="auto"/>
            </w:pPr>
          </w:p>
          <w:p w:rsidR="00B0629B" w:rsidRDefault="00B0629B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t>Anteriore</w:t>
            </w:r>
          </w:p>
          <w:p w:rsidR="00B0629B" w:rsidRDefault="00B0629B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t>Laterale</w:t>
            </w:r>
          </w:p>
          <w:p w:rsidR="00B0629B" w:rsidRDefault="00B0629B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t>Posteriore</w:t>
            </w:r>
          </w:p>
          <w:p w:rsidR="00B0629B" w:rsidRDefault="00B062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0629B" w:rsidRDefault="00B06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/>
              </w:rPr>
            </w:pPr>
            <w:r>
              <w:rPr>
                <w:color w:val="FFFFFF"/>
                <w:highlight w:val="red"/>
              </w:rPr>
              <w:t>Conferma</w:t>
            </w:r>
          </w:p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9" w:type="dxa"/>
          </w:tcPr>
          <w:p w:rsidR="00B0629B" w:rsidRDefault="00B0629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77"/>
            </w:pPr>
            <w:r>
              <w:t xml:space="preserve">Dopo l’assegnazione a un segmento arterioso e </w:t>
            </w:r>
            <w:r>
              <w:rPr>
                <w:color w:val="FF0000"/>
              </w:rPr>
              <w:t>se si tratta di una zona della carotide comune</w:t>
            </w:r>
            <w:r>
              <w:t>, si apre una finestra di dialogo che richiede di precisare l’incidenza e confermare.</w:t>
            </w:r>
          </w:p>
        </w:tc>
        <w:tc>
          <w:tcPr>
            <w:tcW w:w="3260" w:type="dxa"/>
          </w:tcPr>
          <w:p w:rsidR="00B0629B" w:rsidRDefault="00B0629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0" w:hanging="284"/>
            </w:pPr>
            <w:r>
              <w:t xml:space="preserve">Le immagini assegnate vengono visualizzate nella zona “Assegnazione”. Una </w:t>
            </w:r>
            <w:r>
              <w:rPr>
                <w:color w:val="FF0000"/>
              </w:rPr>
              <w:t>piccola lente</w:t>
            </w:r>
            <w:r>
              <w:t xml:space="preserve"> di ingrandimento permette di ingrandirle sullo schermo.</w:t>
            </w:r>
          </w:p>
          <w:p w:rsidR="00B0629B" w:rsidRDefault="00B0629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0" w:hanging="284"/>
            </w:pPr>
            <w:r>
              <w:t xml:space="preserve">È possibile </w:t>
            </w:r>
            <w:r>
              <w:rPr>
                <w:color w:val="FF0000"/>
              </w:rPr>
              <w:t>annullare un’assegnazione</w:t>
            </w:r>
            <w:r>
              <w:t xml:space="preserve"> facendo clic sulla crocetta rossa visualizzata sull’immagine.</w:t>
            </w:r>
          </w:p>
          <w:p w:rsidR="00B0629B" w:rsidRDefault="00B0629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0" w:hanging="284"/>
            </w:pPr>
            <w:r>
              <w:t>Una volta assegnata almeno un’immagine a un segmento arterioso, si attiva il menu “Misurazioni” ed è possibile passare alla fase successiva.</w:t>
            </w:r>
          </w:p>
        </w:tc>
      </w:tr>
    </w:tbl>
    <w:p w:rsidR="00B0629B" w:rsidRDefault="00B0629B">
      <w:pPr>
        <w:ind w:left="709" w:hanging="709"/>
        <w:rPr>
          <w:rFonts w:ascii="Times New Roman" w:hAnsi="Times New Roman" w:cs="Times New Roman"/>
          <w:b/>
          <w:bCs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br w:type="page"/>
      </w:r>
      <w:r>
        <w:t>(measuresAreaButton)</w:t>
      </w:r>
    </w:p>
    <w:p w:rsidR="00B0629B" w:rsidRDefault="00B0629B">
      <w:pPr>
        <w:rPr>
          <w:rFonts w:ascii="Times New Roman" w:hAnsi="Times New Roman" w:cs="Times New Roman"/>
          <w:b/>
          <w:bCs/>
        </w:rPr>
      </w:pPr>
    </w:p>
    <w:p w:rsidR="00B0629B" w:rsidRDefault="00B0629B">
      <w:pPr>
        <w:ind w:left="709" w:hanging="709"/>
        <w:rPr>
          <w:b/>
          <w:bCs/>
        </w:rPr>
      </w:pPr>
      <w:r>
        <w:rPr>
          <w:b/>
          <w:bCs/>
        </w:rPr>
        <w:t>Misurazioni: superficie</w:t>
      </w:r>
    </w:p>
    <w:p w:rsidR="00B0629B" w:rsidRDefault="00B0629B">
      <w:pPr>
        <w:pStyle w:val="ListParagraph"/>
        <w:numPr>
          <w:ilvl w:val="0"/>
          <w:numId w:val="6"/>
        </w:numPr>
        <w:ind w:left="426" w:hanging="284"/>
        <w:rPr>
          <w:rFonts w:ascii="Times New Roman" w:hAnsi="Times New Roman" w:cs="Times New Roman"/>
        </w:rPr>
      </w:pPr>
      <w:r>
        <w:rPr>
          <w:color w:val="FF0000"/>
        </w:rPr>
        <w:t>Fare clic su “Superficie”</w:t>
      </w:r>
      <w:r>
        <w:t xml:space="preserve"> su un’immagine calibrata: il pulsante diventa verde. </w:t>
      </w:r>
      <w:r>
        <w:rPr>
          <w:b/>
          <w:bCs/>
          <w:color w:val="FFFFFF"/>
          <w:highlight w:val="green"/>
        </w:rPr>
        <w:t>Superficie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62"/>
        <w:gridCol w:w="3716"/>
      </w:tblGrid>
      <w:tr w:rsidR="00B0629B">
        <w:tc>
          <w:tcPr>
            <w:tcW w:w="6062" w:type="dxa"/>
          </w:tcPr>
          <w:p w:rsidR="00B0629B" w:rsidRDefault="00B0629B">
            <w:pPr>
              <w:spacing w:after="0" w:line="240" w:lineRule="auto"/>
            </w:pPr>
            <w:r>
              <w:t xml:space="preserve">Fare un primo clic con il tasto sinistro del mouse sul punto di inizio della superficie. </w:t>
            </w:r>
            <w:r>
              <w:rPr>
                <w:color w:val="FF0000"/>
              </w:rPr>
              <w:t>NON tenere premuto</w:t>
            </w:r>
            <w:r>
              <w:t xml:space="preserve"> il tasto.</w:t>
            </w:r>
          </w:p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0629B" w:rsidRDefault="00B0629B">
            <w:pPr>
              <w:spacing w:after="0" w:line="240" w:lineRule="auto"/>
              <w:rPr>
                <w:rFonts w:eastAsia="Arial Unicode MS"/>
                <w:lang w:eastAsia="fr-FR"/>
              </w:rPr>
            </w:pPr>
            <w:r>
              <w:t>“Continuare a fare clic per “disegnare” i segmenti che la limitano,</w:t>
            </w:r>
            <w:r>
              <w:rPr>
                <w:color w:val="1F497D"/>
              </w:rPr>
              <w:t xml:space="preserve"> </w:t>
            </w:r>
            <w:r>
              <w:rPr>
                <w:color w:val="FF0000"/>
              </w:rPr>
              <w:t>senza fare di nuovo clic sul punto di inizio</w:t>
            </w:r>
            <w:r>
              <w:rPr>
                <w:color w:val="1F497D"/>
              </w:rPr>
              <w:t xml:space="preserve"> </w:t>
            </w:r>
            <w:r>
              <w:t>(non chiudere la superficie da sé).”</w:t>
            </w:r>
          </w:p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0629B" w:rsidRDefault="00B0629B">
            <w:pPr>
              <w:spacing w:after="0" w:line="240" w:lineRule="auto"/>
            </w:pPr>
            <w:r>
              <w:t xml:space="preserve">Facendo doppio clic con il tasto sinistro del mouse </w:t>
            </w:r>
            <w:r>
              <w:rPr>
                <w:color w:val="FF0000"/>
              </w:rPr>
              <w:t>sull’ultimo punto indicato</w:t>
            </w:r>
            <w:r>
              <w:t>, la superficie si chiuderà automaticamente e si avvierà il calcolo che verrà visualizzato nella zona “misurazioni”.</w:t>
            </w:r>
          </w:p>
        </w:tc>
        <w:tc>
          <w:tcPr>
            <w:tcW w:w="3716" w:type="dxa"/>
          </w:tcPr>
          <w:p w:rsidR="00B0629B" w:rsidRDefault="00B0629B">
            <w:pPr>
              <w:spacing w:after="0" w:line="240" w:lineRule="auto"/>
            </w:pPr>
            <w:r>
              <w:t>È possibile annullare la misurazione in corso facendo clic sul pulsante verde.</w:t>
            </w:r>
          </w:p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0629B" w:rsidRDefault="00B0629B">
            <w:pPr>
              <w:spacing w:after="0" w:line="240" w:lineRule="auto"/>
            </w:pPr>
            <w:r>
              <w:t xml:space="preserve">Al termine della misurazione della superficie, il pulsante ridiventa rosso. Se si ripete l’operazione, i nuovi valori sostituiscono i precedenti. </w:t>
            </w:r>
          </w:p>
        </w:tc>
      </w:tr>
    </w:tbl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t>(measuresCalibration)</w:t>
      </w:r>
    </w:p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b/>
          <w:bCs/>
        </w:rPr>
        <w:t>Misurazioni: calibrazione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59"/>
        <w:gridCol w:w="2661"/>
        <w:gridCol w:w="3858"/>
      </w:tblGrid>
      <w:tr w:rsidR="00B0629B">
        <w:tc>
          <w:tcPr>
            <w:tcW w:w="3259" w:type="dxa"/>
          </w:tcPr>
          <w:p w:rsidR="00B0629B" w:rsidRDefault="00B0629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42" w:hanging="142"/>
            </w:pPr>
            <w:r>
              <w:t>Se si sceglie un’immagine non DICOM, la modalità di calibrazione viene impostata automaticamente e il pulsante “Calibrazione” diventa verde:</w:t>
            </w:r>
          </w:p>
        </w:tc>
        <w:tc>
          <w:tcPr>
            <w:tcW w:w="2661" w:type="dxa"/>
          </w:tcPr>
          <w:p w:rsidR="00B0629B" w:rsidRDefault="00B06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/>
              </w:rPr>
            </w:pPr>
            <w:r>
              <w:rPr>
                <w:color w:val="FFFFFF"/>
                <w:highlight w:val="red"/>
              </w:rPr>
              <w:t>Strumenti</w:t>
            </w:r>
          </w:p>
          <w:p w:rsidR="00B0629B" w:rsidRDefault="00B06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/>
                <w:highlight w:val="green"/>
              </w:rPr>
            </w:pPr>
          </w:p>
          <w:p w:rsidR="00B0629B" w:rsidRDefault="00B06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/>
              </w:rPr>
            </w:pPr>
            <w:r>
              <w:rPr>
                <w:color w:val="FFFFFF"/>
                <w:highlight w:val="green"/>
              </w:rPr>
              <w:t>Calibrazione</w:t>
            </w:r>
          </w:p>
        </w:tc>
        <w:tc>
          <w:tcPr>
            <w:tcW w:w="3858" w:type="dxa"/>
          </w:tcPr>
          <w:p w:rsidR="00B0629B" w:rsidRDefault="00B0629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76" w:hanging="142"/>
            </w:pPr>
            <w:r>
              <w:t>Se viene passato sull’immagine, il cursore del mouse assume la forma di un “mirino” con un’appendice verticale:</w:t>
            </w:r>
          </w:p>
        </w:tc>
      </w:tr>
      <w:tr w:rsidR="00B0629B">
        <w:tc>
          <w:tcPr>
            <w:tcW w:w="3259" w:type="dxa"/>
          </w:tcPr>
          <w:p w:rsidR="00B0629B" w:rsidRDefault="00B0629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42" w:hanging="142"/>
            </w:pPr>
            <w:r>
              <w:rPr>
                <w:color w:val="FF0000"/>
              </w:rPr>
              <w:t>Allineare</w:t>
            </w:r>
            <w:r>
              <w:t xml:space="preserve"> il cursore sulla linea della scala. Posizionare il mirino sul </w:t>
            </w:r>
            <w:r>
              <w:rPr>
                <w:color w:val="FF0000"/>
              </w:rPr>
              <w:t>punto di inizio</w:t>
            </w:r>
            <w:r>
              <w:t xml:space="preserve"> del tracciato,</w:t>
            </w:r>
          </w:p>
          <w:p w:rsidR="00B0629B" w:rsidRDefault="00B0629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42" w:hanging="142"/>
            </w:pPr>
            <w:r>
              <w:t xml:space="preserve">Fare clic con il tasto sinistro del mouse, </w:t>
            </w:r>
            <w:r>
              <w:rPr>
                <w:color w:val="FF0000"/>
              </w:rPr>
              <w:t>quindi rilasciarlo</w:t>
            </w:r>
            <w:r>
              <w:t xml:space="preserve"> per definire il punto alto della scala.</w:t>
            </w:r>
          </w:p>
        </w:tc>
        <w:tc>
          <w:tcPr>
            <w:tcW w:w="2661" w:type="dxa"/>
          </w:tcPr>
          <w:p w:rsidR="00B0629B" w:rsidRDefault="00B0629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43" w:hanging="143"/>
            </w:pPr>
            <w:r>
              <w:t>Spostare il mirino sul punto di arrivo.</w:t>
            </w:r>
          </w:p>
          <w:p w:rsidR="00B0629B" w:rsidRDefault="00B0629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43" w:hanging="143"/>
            </w:pPr>
            <w:r>
              <w:t xml:space="preserve">Una </w:t>
            </w:r>
            <w:r>
              <w:rPr>
                <w:color w:val="00B050"/>
              </w:rPr>
              <w:t>linea verde</w:t>
            </w:r>
            <w:r>
              <w:t xml:space="preserve"> rappresenta il tracciato della scala,</w:t>
            </w:r>
          </w:p>
          <w:p w:rsidR="00B0629B" w:rsidRDefault="00B0629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43" w:hanging="143"/>
            </w:pPr>
            <w:r>
              <w:t>Fare clic poi rilasciare per definire il punto in basso.</w:t>
            </w:r>
          </w:p>
        </w:tc>
        <w:tc>
          <w:tcPr>
            <w:tcW w:w="3858" w:type="dxa"/>
          </w:tcPr>
          <w:p w:rsidR="00B0629B" w:rsidRDefault="00B0629B">
            <w:pPr>
              <w:spacing w:after="0" w:line="240" w:lineRule="auto"/>
            </w:pPr>
            <w:r>
              <w:t xml:space="preserve">L’operazione ha successo se vengono visualizzate </w:t>
            </w:r>
            <w:r>
              <w:rPr>
                <w:color w:val="FF0000"/>
              </w:rPr>
              <w:t xml:space="preserve">due frecce rosse </w:t>
            </w:r>
            <w:r>
              <w:t>che indicano i limiti della scala.</w:t>
            </w:r>
          </w:p>
        </w:tc>
      </w:tr>
    </w:tbl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t>(measuresDistanceButton)</w:t>
      </w:r>
    </w:p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b/>
          <w:bCs/>
        </w:rPr>
      </w:pPr>
      <w:r>
        <w:rPr>
          <w:b/>
          <w:bCs/>
        </w:rPr>
        <w:t>Misurazioni: distanza</w:t>
      </w:r>
    </w:p>
    <w:p w:rsidR="00B0629B" w:rsidRDefault="00B0629B">
      <w:pPr>
        <w:pStyle w:val="ListParagraph"/>
        <w:numPr>
          <w:ilvl w:val="0"/>
          <w:numId w:val="7"/>
        </w:numPr>
        <w:ind w:left="284" w:hanging="284"/>
        <w:rPr>
          <w:rFonts w:ascii="Times New Roman" w:hAnsi="Times New Roman" w:cs="Times New Roman"/>
        </w:rPr>
      </w:pPr>
      <w:r>
        <w:rPr>
          <w:color w:val="FF0000"/>
        </w:rPr>
        <w:t xml:space="preserve">Fare clic su “Distanza” </w:t>
      </w:r>
      <w:r>
        <w:t xml:space="preserve">su un’immagine calibrata: il pulsante diventa verde </w:t>
      </w:r>
      <w:r>
        <w:rPr>
          <w:color w:val="FFFFFF"/>
          <w:highlight w:val="green"/>
        </w:rPr>
        <w:t>Distanza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93"/>
        <w:gridCol w:w="2397"/>
        <w:gridCol w:w="2432"/>
        <w:gridCol w:w="2348"/>
      </w:tblGrid>
      <w:tr w:rsidR="00B0629B">
        <w:trPr>
          <w:cantSplit/>
        </w:trPr>
        <w:tc>
          <w:tcPr>
            <w:tcW w:w="2393" w:type="dxa"/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2" w:type="dxa"/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  <w:color w:val="FFFFFF"/>
              </w:rPr>
            </w:pPr>
            <w:r>
              <w:rPr>
                <w:color w:val="FFFFFF"/>
                <w:highlight w:val="red"/>
              </w:rPr>
              <w:t>Tipo di distanza</w:t>
            </w:r>
          </w:p>
          <w:p w:rsidR="00B0629B" w:rsidRDefault="00B0629B">
            <w:pPr>
              <w:spacing w:after="0" w:line="240" w:lineRule="auto"/>
            </w:pPr>
            <w:r>
              <w:t xml:space="preserve">  Tipo di distanza</w:t>
            </w:r>
          </w:p>
          <w:p w:rsidR="00B0629B" w:rsidRDefault="00B0629B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t xml:space="preserve">Spessore </w:t>
            </w:r>
          </w:p>
          <w:p w:rsidR="00B0629B" w:rsidRDefault="00B0629B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t>Diametro</w:t>
            </w:r>
          </w:p>
          <w:p w:rsidR="00B0629B" w:rsidRDefault="00B06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/>
              </w:rPr>
            </w:pPr>
            <w:r>
              <w:rPr>
                <w:color w:val="FFFFFF"/>
                <w:highlight w:val="red"/>
              </w:rPr>
              <w:t>Conferma</w:t>
            </w:r>
          </w:p>
        </w:tc>
        <w:tc>
          <w:tcPr>
            <w:tcW w:w="2348" w:type="dxa"/>
            <w:vMerge w:val="restart"/>
          </w:tcPr>
          <w:p w:rsidR="00B0629B" w:rsidRDefault="00B0629B">
            <w:pPr>
              <w:spacing w:after="0" w:line="240" w:lineRule="auto"/>
            </w:pPr>
            <w:r>
              <w:t>È possibile annullare la misurazione in corso facendo clic sul pulsante verde.</w:t>
            </w:r>
          </w:p>
          <w:p w:rsidR="00B0629B" w:rsidRDefault="00B0629B">
            <w:pPr>
              <w:spacing w:after="0" w:line="240" w:lineRule="auto"/>
            </w:pPr>
          </w:p>
          <w:p w:rsidR="00B0629B" w:rsidRDefault="00B0629B">
            <w:pPr>
              <w:spacing w:after="0" w:line="240" w:lineRule="auto"/>
            </w:pPr>
            <w:r>
              <w:t>Al termine della misurazione della distanza, il pulsante diventa di nuovo rosso. Se si ripete l’operazione, i nuovi valori sostituiranno i precedenti.</w:t>
            </w:r>
          </w:p>
        </w:tc>
      </w:tr>
      <w:tr w:rsidR="00B0629B">
        <w:trPr>
          <w:cantSplit/>
        </w:trPr>
        <w:tc>
          <w:tcPr>
            <w:tcW w:w="2393" w:type="dxa"/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 xml:space="preserve">Fare clic per definire il punto di partenza per la misurazione della distanza. </w:t>
            </w:r>
            <w:r>
              <w:rPr>
                <w:color w:val="FF0000"/>
              </w:rPr>
              <w:t>Tenere premuto il tasto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7" w:type="dxa"/>
          </w:tcPr>
          <w:p w:rsidR="00B0629B" w:rsidRDefault="00B0629B">
            <w:pPr>
              <w:spacing w:after="0" w:line="240" w:lineRule="auto"/>
            </w:pPr>
            <w:r>
              <w:t xml:space="preserve">Spostare il mouse fino alla posizione desiderata, quindi </w:t>
            </w:r>
            <w:r>
              <w:rPr>
                <w:color w:val="FF0000"/>
              </w:rPr>
              <w:t>rilasciare il tasto</w:t>
            </w:r>
            <w:r>
              <w:t xml:space="preserve"> per completare la misurazione.</w:t>
            </w:r>
          </w:p>
        </w:tc>
        <w:tc>
          <w:tcPr>
            <w:tcW w:w="2432" w:type="dxa"/>
          </w:tcPr>
          <w:p w:rsidR="00B0629B" w:rsidRDefault="00B0629B">
            <w:pPr>
              <w:spacing w:after="0" w:line="240" w:lineRule="auto"/>
            </w:pPr>
            <w:r>
              <w:t xml:space="preserve">L’applicazione chiede di precisare se si tratta della </w:t>
            </w:r>
            <w:r>
              <w:rPr>
                <w:color w:val="FF0000"/>
              </w:rPr>
              <w:t>misurazione dello spessore o del diametro</w:t>
            </w:r>
            <w:r>
              <w:t>. Confermare.</w:t>
            </w:r>
          </w:p>
          <w:p w:rsidR="00B0629B" w:rsidRDefault="00B0629B">
            <w:pPr>
              <w:spacing w:after="0" w:line="240" w:lineRule="auto"/>
            </w:pPr>
            <w:r>
              <w:t>Il valore e il tipo della distanza misurata vengono visualizzate nella zona “Misurazioni”.</w:t>
            </w:r>
          </w:p>
        </w:tc>
        <w:tc>
          <w:tcPr>
            <w:tcW w:w="2348" w:type="dxa"/>
            <w:vMerge/>
          </w:tcPr>
          <w:p w:rsidR="00B0629B" w:rsidRDefault="00B0629B">
            <w:pPr>
              <w:spacing w:after="0" w:line="240" w:lineRule="auto"/>
            </w:pPr>
          </w:p>
        </w:tc>
      </w:tr>
    </w:tbl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t>(measuresEndingCalibration)</w:t>
      </w:r>
    </w:p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rFonts w:ascii="Times New Roman" w:hAnsi="Times New Roman" w:cs="Times New Roman"/>
          <w:b/>
          <w:bCs/>
        </w:rPr>
      </w:pPr>
      <w:r>
        <w:rPr>
          <w:b/>
          <w:bCs/>
        </w:rPr>
        <w:t xml:space="preserve">Misurazioni: completare o ricominciare la calibrazione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89"/>
        <w:gridCol w:w="4889"/>
      </w:tblGrid>
      <w:tr w:rsidR="00B0629B">
        <w:tc>
          <w:tcPr>
            <w:tcW w:w="4889" w:type="dxa"/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  <w:color w:val="FFFFFF"/>
              </w:rPr>
            </w:pPr>
            <w:r>
              <w:rPr>
                <w:color w:val="FFFFFF"/>
                <w:highlight w:val="red"/>
              </w:rPr>
              <w:t>Calibrazione della scala</w:t>
            </w:r>
          </w:p>
          <w:p w:rsidR="00B0629B" w:rsidRDefault="00B0629B">
            <w:pPr>
              <w:spacing w:after="0" w:line="240" w:lineRule="auto"/>
            </w:pPr>
            <w:r>
              <w:t>Indicare l’altezza della scala rilevata</w:t>
            </w:r>
          </w:p>
          <w:p w:rsidR="00B0629B" w:rsidRDefault="00B0629B">
            <w:pPr>
              <w:spacing w:after="0" w:line="240" w:lineRule="auto"/>
            </w:pPr>
            <w:r>
              <w:t xml:space="preserve">        Scala      30 mm</w:t>
            </w:r>
          </w:p>
          <w:p w:rsidR="00B0629B" w:rsidRDefault="00B0629B">
            <w:pPr>
              <w:spacing w:after="0" w:line="240" w:lineRule="auto"/>
              <w:jc w:val="center"/>
              <w:rPr>
                <w:color w:val="FFFFFF"/>
              </w:rPr>
            </w:pPr>
            <w:r>
              <w:rPr>
                <w:color w:val="FFFFFF"/>
                <w:highlight w:val="red"/>
              </w:rPr>
              <w:t>Conferma</w:t>
            </w:r>
            <w:r>
              <w:rPr>
                <w:color w:val="FFFFFF"/>
              </w:rPr>
              <w:t xml:space="preserve"> </w:t>
            </w:r>
          </w:p>
          <w:p w:rsidR="00B0629B" w:rsidRDefault="00B0629B">
            <w:pPr>
              <w:spacing w:after="0" w:line="240" w:lineRule="auto"/>
              <w:jc w:val="right"/>
            </w:pPr>
            <w:r>
              <w:t>Ricominciare?</w:t>
            </w:r>
          </w:p>
          <w:p w:rsidR="00B0629B" w:rsidRDefault="00B0629B">
            <w:pPr>
              <w:spacing w:after="0" w:line="240" w:lineRule="auto"/>
              <w:jc w:val="right"/>
            </w:pPr>
          </w:p>
          <w:p w:rsidR="00B0629B" w:rsidRDefault="00B0629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42" w:hanging="142"/>
              <w:rPr>
                <w:rFonts w:ascii="Times New Roman" w:hAnsi="Times New Roman" w:cs="Times New Roman"/>
              </w:rPr>
            </w:pPr>
            <w:r>
              <w:t>Una volta terminato il posizionamento della scala, l’applicazione chiede di precisare</w:t>
            </w:r>
            <w:r>
              <w:rPr>
                <w:color w:val="FF0000"/>
              </w:rPr>
              <w:t xml:space="preserve"> l’altezza in millimetri.</w:t>
            </w:r>
          </w:p>
          <w:p w:rsidR="00B0629B" w:rsidRDefault="00B0629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42" w:hanging="142"/>
            </w:pPr>
            <w:r>
              <w:t xml:space="preserve">In questa fase è altresì possibile chiedere di </w:t>
            </w:r>
            <w:r>
              <w:rPr>
                <w:color w:val="FF0000"/>
              </w:rPr>
              <w:t xml:space="preserve">ricominciare il processo </w:t>
            </w:r>
            <w:r>
              <w:t>facendo clic sul collegamento proposto.</w:t>
            </w:r>
          </w:p>
        </w:tc>
        <w:tc>
          <w:tcPr>
            <w:tcW w:w="4889" w:type="dxa"/>
          </w:tcPr>
          <w:p w:rsidR="00B0629B" w:rsidRDefault="00B0629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14" w:hanging="142"/>
              <w:rPr>
                <w:rFonts w:ascii="Times New Roman" w:hAnsi="Times New Roman" w:cs="Times New Roman"/>
              </w:rPr>
            </w:pPr>
            <w:r>
              <w:t xml:space="preserve">Una volta confermata, l’altezza della scala viene riportata sull’immagine come mostra la figura e il pulsante “Calibrazione” </w:t>
            </w:r>
            <w:r>
              <w:rPr>
                <w:color w:val="FF0000"/>
              </w:rPr>
              <w:t>ridiventa rosso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0629B" w:rsidRDefault="00B0629B">
            <w:pPr>
              <w:pStyle w:val="ListParagraph"/>
              <w:numPr>
                <w:ilvl w:val="0"/>
                <w:numId w:val="8"/>
              </w:numPr>
              <w:spacing w:before="240" w:after="0" w:line="240" w:lineRule="auto"/>
              <w:ind w:left="214" w:hanging="142"/>
            </w:pPr>
            <w:r>
              <w:t>È possibile ripetere la calibrazione facendo di nuovo clic su “Calibrazione”:</w:t>
            </w:r>
          </w:p>
          <w:p w:rsidR="00B0629B" w:rsidRDefault="00B0629B">
            <w:pPr>
              <w:pStyle w:val="ListParagraph"/>
              <w:numPr>
                <w:ilvl w:val="0"/>
                <w:numId w:val="8"/>
              </w:numPr>
              <w:spacing w:before="240" w:after="0" w:line="240" w:lineRule="auto"/>
              <w:ind w:left="640" w:hanging="284"/>
            </w:pPr>
            <w:r>
              <w:t xml:space="preserve">1) la scala viene cancellata ma </w:t>
            </w:r>
            <w:r>
              <w:rPr>
                <w:color w:val="FF0000"/>
              </w:rPr>
              <w:t>rimane nella memoria ed è valida</w:t>
            </w:r>
            <w:r>
              <w:t xml:space="preserve"> finché non si esegue una nuova calibrazione corretta e completa.</w:t>
            </w:r>
          </w:p>
          <w:p w:rsidR="00B0629B" w:rsidRDefault="00B0629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640" w:hanging="284"/>
              <w:rPr>
                <w:rFonts w:ascii="Times New Roman" w:hAnsi="Times New Roman" w:cs="Times New Roman"/>
              </w:rPr>
            </w:pPr>
            <w:r>
              <w:t xml:space="preserve">2) se si realizza una </w:t>
            </w:r>
            <w:r>
              <w:rPr>
                <w:color w:val="FF0000"/>
              </w:rPr>
              <w:t>nuova calibrazione</w:t>
            </w:r>
            <w:r>
              <w:t xml:space="preserve"> allorché tutte le misurazioni erano già state completate, queste vengono </w:t>
            </w:r>
            <w:r>
              <w:rPr>
                <w:color w:val="FF0000"/>
              </w:rPr>
              <w:t>ricalcolate in funzione della nuova scala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B0629B" w:rsidRDefault="00B0629B">
      <w:pPr>
        <w:rPr>
          <w:rFonts w:ascii="Times New Roman" w:hAnsi="Times New Roman" w:cs="Times New Roman"/>
          <w:b/>
          <w:bCs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br w:type="page"/>
      </w:r>
      <w:r>
        <w:t>(measuresGlobalProcess)</w:t>
      </w:r>
    </w:p>
    <w:p w:rsidR="00B0629B" w:rsidRDefault="00B0629B">
      <w:pPr>
        <w:rPr>
          <w:rFonts w:ascii="Times New Roman" w:hAnsi="Times New Roman" w:cs="Times New Roman"/>
          <w:b/>
          <w:bCs/>
        </w:rPr>
      </w:pPr>
    </w:p>
    <w:p w:rsidR="00B0629B" w:rsidRDefault="00B0629B">
      <w:pPr>
        <w:rPr>
          <w:b/>
          <w:bCs/>
        </w:rPr>
      </w:pPr>
      <w:r>
        <w:rPr>
          <w:b/>
          <w:bCs/>
        </w:rPr>
        <w:t>Misurazioni: processo globale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57"/>
        <w:gridCol w:w="2257"/>
        <w:gridCol w:w="2257"/>
        <w:gridCol w:w="3007"/>
      </w:tblGrid>
      <w:tr w:rsidR="00B0629B">
        <w:trPr>
          <w:cantSplit/>
        </w:trPr>
        <w:tc>
          <w:tcPr>
            <w:tcW w:w="6771" w:type="dxa"/>
            <w:gridSpan w:val="3"/>
          </w:tcPr>
          <w:p w:rsidR="00B0629B" w:rsidRDefault="00B0629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84" w:hanging="284"/>
            </w:pPr>
            <w:r>
              <w:t>È possibile eseguire i diversi tipi di misurazione per ciascuna immagine visualizzata nella fase precedente (“Acquisire”), nell’ordine desiderato.</w:t>
            </w:r>
          </w:p>
        </w:tc>
        <w:tc>
          <w:tcPr>
            <w:tcW w:w="3007" w:type="dxa"/>
            <w:vMerge w:val="restart"/>
          </w:tcPr>
          <w:p w:rsidR="00B0629B" w:rsidRDefault="00B0629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75" w:hanging="175"/>
            </w:pPr>
            <w:r>
              <w:t xml:space="preserve">Se l’immagine non è in </w:t>
            </w:r>
            <w:r>
              <w:rPr>
                <w:color w:val="FF0000"/>
              </w:rPr>
              <w:t>formato DICOM</w:t>
            </w:r>
            <w:r>
              <w:t>, la modalità calibrazione viene attivata automaticamente.</w:t>
            </w:r>
          </w:p>
          <w:p w:rsidR="00B0629B" w:rsidRDefault="00B0629B">
            <w:pPr>
              <w:pStyle w:val="ListParagraph"/>
              <w:numPr>
                <w:ilvl w:val="0"/>
                <w:numId w:val="9"/>
              </w:numPr>
              <w:spacing w:before="240" w:after="0" w:line="240" w:lineRule="auto"/>
              <w:ind w:left="175" w:hanging="175"/>
            </w:pPr>
            <w:r>
              <w:t>La fase “Misurazioni” rimane disponibile su tutti gli appuntamenti anche dopo l’</w:t>
            </w:r>
            <w:r>
              <w:rPr>
                <w:color w:val="FF0000"/>
              </w:rPr>
              <w:t>uscita dall’appuntamento</w:t>
            </w:r>
            <w:r>
              <w:t xml:space="preserve"> o l’</w:t>
            </w:r>
            <w:r>
              <w:rPr>
                <w:color w:val="FF0000"/>
              </w:rPr>
              <w:t>emissione di un rapporto</w:t>
            </w:r>
            <w:r>
              <w:t xml:space="preserve">. È dunque possibile completare le misurazioni in qualsiasi momento. </w:t>
            </w:r>
          </w:p>
        </w:tc>
      </w:tr>
      <w:tr w:rsidR="00B0629B">
        <w:trPr>
          <w:cantSplit/>
          <w:trHeight w:val="2170"/>
        </w:trPr>
        <w:tc>
          <w:tcPr>
            <w:tcW w:w="2257" w:type="dxa"/>
            <w:shd w:val="clear" w:color="auto" w:fill="FF5050"/>
            <w:vAlign w:val="center"/>
          </w:tcPr>
          <w:p w:rsidR="00B0629B" w:rsidRDefault="00B0629B">
            <w:pPr>
              <w:spacing w:after="0" w:line="240" w:lineRule="auto"/>
              <w:jc w:val="center"/>
            </w:pPr>
            <w:r>
              <w:t>Scelta dell’immagine fra le miniature</w:t>
            </w:r>
          </w:p>
        </w:tc>
        <w:tc>
          <w:tcPr>
            <w:tcW w:w="2257" w:type="dxa"/>
            <w:shd w:val="clear" w:color="auto" w:fill="FF5050"/>
            <w:vAlign w:val="center"/>
          </w:tcPr>
          <w:p w:rsidR="00B0629B" w:rsidRDefault="00B0629B">
            <w:pPr>
              <w:spacing w:after="0" w:line="240" w:lineRule="auto"/>
              <w:jc w:val="center"/>
            </w:pPr>
            <w:r>
              <w:t>Calibrazione (immagini non DICOM)</w:t>
            </w:r>
          </w:p>
        </w:tc>
        <w:tc>
          <w:tcPr>
            <w:tcW w:w="2257" w:type="dxa"/>
            <w:shd w:val="clear" w:color="auto" w:fill="FF5050"/>
            <w:vAlign w:val="center"/>
          </w:tcPr>
          <w:p w:rsidR="00B0629B" w:rsidRDefault="00B0629B">
            <w:pPr>
              <w:spacing w:after="0" w:line="240" w:lineRule="auto"/>
              <w:jc w:val="center"/>
            </w:pPr>
            <w:r>
              <w:t>Misurazione SMI</w:t>
            </w:r>
          </w:p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  <w:color w:val="FFFFFF"/>
              </w:rPr>
            </w:pPr>
            <w:r>
              <w:rPr>
                <w:color w:val="FFFFFF"/>
                <w:highlight w:val="darkRed"/>
              </w:rPr>
              <w:t>e/o</w:t>
            </w:r>
          </w:p>
          <w:p w:rsidR="00B0629B" w:rsidRDefault="00B0629B">
            <w:pPr>
              <w:spacing w:after="0" w:line="240" w:lineRule="auto"/>
              <w:jc w:val="center"/>
            </w:pPr>
            <w:r>
              <w:t>Misurazione distanza</w:t>
            </w:r>
          </w:p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  <w:color w:val="FFFFFF"/>
              </w:rPr>
            </w:pPr>
            <w:r>
              <w:rPr>
                <w:color w:val="FFFFFF"/>
                <w:highlight w:val="darkRed"/>
              </w:rPr>
              <w:t>e/o</w:t>
            </w:r>
          </w:p>
          <w:p w:rsidR="00B0629B" w:rsidRDefault="00B0629B">
            <w:pPr>
              <w:spacing w:after="0" w:line="240" w:lineRule="auto"/>
              <w:jc w:val="center"/>
            </w:pPr>
            <w:r>
              <w:t>Misurazione superficie</w:t>
            </w:r>
          </w:p>
          <w:p w:rsidR="00B0629B" w:rsidRDefault="00B0629B">
            <w:pPr>
              <w:spacing w:after="0" w:line="240" w:lineRule="auto"/>
              <w:jc w:val="center"/>
            </w:pPr>
          </w:p>
        </w:tc>
        <w:tc>
          <w:tcPr>
            <w:tcW w:w="3007" w:type="dxa"/>
            <w:vMerge/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0629B">
        <w:trPr>
          <w:cantSplit/>
          <w:trHeight w:val="446"/>
        </w:trPr>
        <w:tc>
          <w:tcPr>
            <w:tcW w:w="6771" w:type="dxa"/>
            <w:gridSpan w:val="3"/>
            <w:tcBorders>
              <w:bottom w:val="nil"/>
            </w:tcBorders>
          </w:tcPr>
          <w:p w:rsidR="00B0629B" w:rsidRDefault="00B0629B">
            <w:pPr>
              <w:spacing w:after="0" w:line="240" w:lineRule="auto"/>
              <w:jc w:val="center"/>
            </w:pPr>
            <w:r>
              <w:t>Il circuito può essere eseguito per tutte le miniature disponibili.</w:t>
            </w:r>
          </w:p>
        </w:tc>
        <w:tc>
          <w:tcPr>
            <w:tcW w:w="3007" w:type="dxa"/>
            <w:vMerge/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0629B">
        <w:trPr>
          <w:cantSplit/>
          <w:trHeight w:val="446"/>
        </w:trPr>
        <w:tc>
          <w:tcPr>
            <w:tcW w:w="6771" w:type="dxa"/>
            <w:gridSpan w:val="3"/>
            <w:tcBorders>
              <w:top w:val="nil"/>
            </w:tcBorders>
          </w:tcPr>
          <w:p w:rsidR="00B0629B" w:rsidRDefault="00B0629B">
            <w:pPr>
              <w:spacing w:after="0" w:line="240" w:lineRule="auto"/>
              <w:ind w:left="1843" w:hanging="1843"/>
            </w:pPr>
            <w:r>
              <w:rPr>
                <w:color w:val="FFFFFF"/>
                <w:highlight w:val="red"/>
              </w:rPr>
              <w:t>Tutte le misurazioni</w:t>
            </w:r>
            <w:r>
              <w:rPr>
                <w:color w:val="FFFFFF"/>
              </w:rPr>
              <w:t xml:space="preserve">  </w:t>
            </w:r>
            <w:r>
              <w:t>In qualsiasi momento, il pulsante “tutte le misurazioni” permette di visualizzare il riepilogo delle misurazioni eseguite per tutte le immagini assegnate.</w:t>
            </w:r>
          </w:p>
        </w:tc>
        <w:tc>
          <w:tcPr>
            <w:tcW w:w="3007" w:type="dxa"/>
            <w:vMerge/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0629B" w:rsidRDefault="00B0629B">
      <w:pPr>
        <w:rPr>
          <w:rFonts w:ascii="Times New Roman" w:hAnsi="Times New Roman" w:cs="Times New Roman"/>
          <w:b/>
          <w:bCs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br w:type="page"/>
      </w:r>
      <w:r>
        <w:t>(measuresImageSelection)</w:t>
      </w:r>
    </w:p>
    <w:p w:rsidR="00B0629B" w:rsidRDefault="00B0629B">
      <w:pPr>
        <w:rPr>
          <w:rFonts w:ascii="Times New Roman" w:hAnsi="Times New Roman" w:cs="Times New Roman"/>
          <w:b/>
          <w:bCs/>
        </w:rPr>
      </w:pPr>
    </w:p>
    <w:p w:rsidR="00B0629B" w:rsidRDefault="00B0629B">
      <w:pPr>
        <w:rPr>
          <w:b/>
          <w:bCs/>
        </w:rPr>
      </w:pPr>
      <w:r>
        <w:rPr>
          <w:b/>
          <w:bCs/>
        </w:rPr>
        <w:t>Misurazioni: selezione e visualizzazione dell’immagine</w:t>
      </w:r>
    </w:p>
    <w:p w:rsidR="00B0629B" w:rsidRDefault="00B0629B">
      <w:pPr>
        <w:pStyle w:val="ListParagraph"/>
        <w:numPr>
          <w:ilvl w:val="0"/>
          <w:numId w:val="10"/>
        </w:numPr>
        <w:ind w:left="426"/>
      </w:pPr>
      <w:r>
        <w:t xml:space="preserve">Le immagini assegnate nella </w:t>
      </w:r>
      <w:r>
        <w:rPr>
          <w:color w:val="FF0000"/>
        </w:rPr>
        <w:t>fase di acquisizione</w:t>
      </w:r>
      <w:r>
        <w:t xml:space="preserve"> vengono visualizzate sotto forma di miniature in cui la leggenda riporta il segmento arterioso corrispondente.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59"/>
        <w:gridCol w:w="3259"/>
        <w:gridCol w:w="3260"/>
      </w:tblGrid>
      <w:tr w:rsidR="00B0629B">
        <w:tc>
          <w:tcPr>
            <w:tcW w:w="3259" w:type="dxa"/>
          </w:tcPr>
          <w:p w:rsidR="00B0629B" w:rsidRDefault="00B0629B">
            <w:pPr>
              <w:spacing w:after="0" w:line="240" w:lineRule="auto"/>
            </w:pPr>
            <w:r>
              <w:t xml:space="preserve">Fare clic sulla </w:t>
            </w:r>
            <w:r>
              <w:rPr>
                <w:color w:val="FF0000"/>
              </w:rPr>
              <w:t>miniatura dell’immagine</w:t>
            </w:r>
            <w:r>
              <w:t xml:space="preserve"> su cui si intende eseguire le misurazioni.</w:t>
            </w:r>
          </w:p>
        </w:tc>
        <w:tc>
          <w:tcPr>
            <w:tcW w:w="3259" w:type="dxa"/>
          </w:tcPr>
          <w:p w:rsidR="00B0629B" w:rsidRDefault="00B0629B">
            <w:pPr>
              <w:spacing w:after="0" w:line="240" w:lineRule="auto"/>
            </w:pPr>
            <w:r>
              <w:t xml:space="preserve">L’immagine scelta appare nella </w:t>
            </w:r>
            <w:r>
              <w:rPr>
                <w:color w:val="FF0000"/>
              </w:rPr>
              <w:t>parte centrale</w:t>
            </w:r>
            <w:r>
              <w:t xml:space="preserve"> dello schermo.</w:t>
            </w:r>
          </w:p>
        </w:tc>
        <w:tc>
          <w:tcPr>
            <w:tcW w:w="3260" w:type="dxa"/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 xml:space="preserve">Il </w:t>
            </w:r>
            <w:r>
              <w:rPr>
                <w:color w:val="FF0000"/>
              </w:rPr>
              <w:t>tronco arterioso</w:t>
            </w:r>
            <w:r>
              <w:t xml:space="preserve"> corrispondente viene </w:t>
            </w:r>
            <w:r>
              <w:rPr>
                <w:color w:val="FF0000"/>
              </w:rPr>
              <w:t>evidenziato sullo schema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t>(measuresImtButton)</w:t>
      </w:r>
    </w:p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rFonts w:ascii="Times New Roman" w:hAnsi="Times New Roman" w:cs="Times New Roman"/>
          <w:b/>
          <w:bCs/>
        </w:rPr>
      </w:pPr>
      <w:r>
        <w:rPr>
          <w:b/>
          <w:bCs/>
        </w:rPr>
        <w:t>Misurazioni: SMI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60"/>
        <w:gridCol w:w="2960"/>
        <w:gridCol w:w="3858"/>
      </w:tblGrid>
      <w:tr w:rsidR="00B0629B">
        <w:tc>
          <w:tcPr>
            <w:tcW w:w="5920" w:type="dxa"/>
            <w:gridSpan w:val="2"/>
          </w:tcPr>
          <w:p w:rsidR="00B0629B" w:rsidRDefault="00B0629B">
            <w:pPr>
              <w:spacing w:after="0" w:line="240" w:lineRule="auto"/>
            </w:pPr>
            <w:r>
              <w:t xml:space="preserve">Quando l’immagine è calibrata, i pulsanti per la misurazione dello SMI, distanza e superficie, sono attivati. </w:t>
            </w:r>
            <w:r>
              <w:rPr>
                <w:color w:val="FF0000"/>
              </w:rPr>
              <w:t>Fare clic su SMI</w:t>
            </w:r>
            <w:r>
              <w:t xml:space="preserve">: il pulsante diventa verde. </w:t>
            </w:r>
          </w:p>
          <w:p w:rsidR="00B0629B" w:rsidRDefault="00B06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/>
              </w:rPr>
            </w:pPr>
            <w:r>
              <w:rPr>
                <w:color w:val="FFFFFF"/>
                <w:highlight w:val="green"/>
              </w:rPr>
              <w:t>SMI</w:t>
            </w:r>
          </w:p>
        </w:tc>
        <w:tc>
          <w:tcPr>
            <w:tcW w:w="3858" w:type="dxa"/>
          </w:tcPr>
          <w:p w:rsidR="00B0629B" w:rsidRDefault="00B0629B">
            <w:pPr>
              <w:spacing w:after="0" w:line="240" w:lineRule="auto"/>
            </w:pPr>
            <w:r>
              <w:t>Al termine della misurazione, il pulsante ridiventa rosso. Se si ripete l’operazione per una misurazione già effettuata, i nuovi valori sostituiscono i precedenti.</w:t>
            </w:r>
          </w:p>
        </w:tc>
      </w:tr>
      <w:tr w:rsidR="00B0629B">
        <w:tc>
          <w:tcPr>
            <w:tcW w:w="2960" w:type="dxa"/>
            <w:vAlign w:val="center"/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 xml:space="preserve">Fare clic per definire il punto di inizio della misurazione dello SMI. </w:t>
            </w:r>
            <w:r>
              <w:rPr>
                <w:color w:val="FF0000"/>
              </w:rPr>
              <w:t>Tenere il tasto premuto.</w:t>
            </w:r>
          </w:p>
        </w:tc>
        <w:tc>
          <w:tcPr>
            <w:tcW w:w="2960" w:type="dxa"/>
            <w:vAlign w:val="center"/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 xml:space="preserve">Spostare il mouse parallelamente alla parete, verso </w:t>
            </w:r>
            <w:r>
              <w:rPr>
                <w:color w:val="FF0000"/>
              </w:rPr>
              <w:t>destra</w:t>
            </w:r>
            <w:r>
              <w:t xml:space="preserve"> (SMI Far Wall / parete inferiore) o verso </w:t>
            </w:r>
            <w:r>
              <w:rPr>
                <w:color w:val="FF0000"/>
              </w:rPr>
              <w:t>sinistra</w:t>
            </w:r>
            <w:r>
              <w:t xml:space="preserve"> (SMI Near Wall/ parete superiore). Il tracciato rimane rosso finché la lunghezza non rientrerà nei limiti della misura dello SMI (rispetto alla calibrazione). Quando il tracciato rientra in questi limiti, </w:t>
            </w:r>
            <w:r>
              <w:rPr>
                <w:color w:val="00B050"/>
              </w:rPr>
              <w:t>diventa verde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58" w:type="dxa"/>
            <w:vAlign w:val="center"/>
          </w:tcPr>
          <w:p w:rsidR="00B0629B" w:rsidRDefault="00B0629B">
            <w:pPr>
              <w:spacing w:after="0" w:line="240" w:lineRule="auto"/>
            </w:pPr>
            <w:r>
              <w:t xml:space="preserve">Quando il tracciato è verde, è possibile </w:t>
            </w:r>
            <w:r>
              <w:rPr>
                <w:color w:val="FF0000"/>
              </w:rPr>
              <w:t>rilasciare il tasto</w:t>
            </w:r>
            <w:r>
              <w:t xml:space="preserve"> del mouse. La misura viene visualizzata sulla parete e i diversi valori corrispondenti appaiono sul pannello della zona “Misurazioni”.</w:t>
            </w:r>
          </w:p>
        </w:tc>
      </w:tr>
    </w:tbl>
    <w:p w:rsidR="00B0629B" w:rsidRDefault="00B0629B">
      <w:pPr>
        <w:rPr>
          <w:rFonts w:ascii="Times New Roman" w:hAnsi="Times New Roman" w:cs="Times New Roman"/>
          <w:b/>
          <w:bCs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br w:type="page"/>
      </w:r>
      <w:r>
        <w:t>(patientCreate)</w:t>
      </w:r>
    </w:p>
    <w:p w:rsidR="00B0629B" w:rsidRDefault="00B0629B">
      <w:pPr>
        <w:rPr>
          <w:rFonts w:ascii="Times New Roman" w:hAnsi="Times New Roman" w:cs="Times New Roman"/>
          <w:b/>
          <w:bCs/>
        </w:rPr>
      </w:pPr>
    </w:p>
    <w:p w:rsidR="00B0629B" w:rsidRDefault="00B0629B">
      <w:pPr>
        <w:rPr>
          <w:b/>
          <w:bCs/>
        </w:rPr>
      </w:pPr>
      <w:r>
        <w:rPr>
          <w:b/>
          <w:bCs/>
        </w:rPr>
        <w:t>Creazione di un paziente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70"/>
        <w:gridCol w:w="4076"/>
      </w:tblGrid>
      <w:tr w:rsidR="00B0629B">
        <w:tc>
          <w:tcPr>
            <w:tcW w:w="5670" w:type="dxa"/>
          </w:tcPr>
          <w:p w:rsidR="00B0629B" w:rsidRDefault="00B062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8" w:hanging="284"/>
            </w:pPr>
            <w:r>
              <w:t>Una volta eseguita la connessione come utente IntimaMedia.com, viene visualizzata la schermata principale del paziente. Se necessario è possibile cominciare a creare un nuovo paziente.</w:t>
            </w:r>
          </w:p>
          <w:p w:rsidR="00B0629B" w:rsidRDefault="00B0629B">
            <w:pPr>
              <w:pStyle w:val="ListParagraph"/>
              <w:numPr>
                <w:ilvl w:val="0"/>
                <w:numId w:val="10"/>
              </w:numPr>
              <w:spacing w:before="240" w:after="0" w:line="240" w:lineRule="auto"/>
              <w:ind w:left="318" w:hanging="284"/>
              <w:rPr>
                <w:rFonts w:ascii="Times New Roman" w:hAnsi="Times New Roman" w:cs="Times New Roman"/>
              </w:rPr>
            </w:pPr>
            <w:r>
              <w:t xml:space="preserve">Al contrario, se si è fatto clic su un paziente dell’elenco di sinistra, i campi di inserimento passano alla modalità “visualizzazione” del paziente selezionato. Per ritornare alla modalità creazione, è necessario fare clic su </w:t>
            </w:r>
            <w:r>
              <w:rPr>
                <w:color w:val="FFFFFF"/>
                <w:highlight w:val="red"/>
              </w:rPr>
              <w:t>Creazione di una cartella paziente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0629B" w:rsidRDefault="00B0629B">
            <w:pPr>
              <w:pStyle w:val="ListParagraph"/>
              <w:numPr>
                <w:ilvl w:val="0"/>
                <w:numId w:val="10"/>
              </w:numPr>
              <w:spacing w:before="240" w:after="0" w:line="240" w:lineRule="auto"/>
              <w:ind w:left="318" w:hanging="284"/>
            </w:pPr>
            <w:r>
              <w:t xml:space="preserve">Per creare un paziente, è necessario compilare tutti i campi contrassegnati da un asterisco rosso. Il </w:t>
            </w:r>
            <w:r>
              <w:rPr>
                <w:color w:val="FF0000"/>
              </w:rPr>
              <w:t xml:space="preserve">paese di nascita e di residenza </w:t>
            </w:r>
            <w:r>
              <w:t>influiscono sulla generazione del rapporto e sul confronto delle misurazioni con gli abachi disponibili.</w:t>
            </w:r>
          </w:p>
        </w:tc>
        <w:tc>
          <w:tcPr>
            <w:tcW w:w="4076" w:type="dxa"/>
          </w:tcPr>
          <w:p w:rsidR="00B0629B" w:rsidRDefault="00B062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18" w:hanging="284"/>
            </w:pPr>
            <w:r>
              <w:t>Con la creazione di un nuovo paziente si crea anche un primo appuntamento nella data indicata in “</w:t>
            </w:r>
            <w:r>
              <w:rPr>
                <w:color w:val="FF0000"/>
              </w:rPr>
              <w:t>data della visita</w:t>
            </w:r>
            <w:r>
              <w:t>” (per impostazione predefinita, la data del giorno in corso).</w:t>
            </w:r>
          </w:p>
          <w:p w:rsidR="00B0629B" w:rsidRDefault="00B0629B">
            <w:pPr>
              <w:pStyle w:val="ListParagraph"/>
              <w:numPr>
                <w:ilvl w:val="0"/>
                <w:numId w:val="10"/>
              </w:numPr>
              <w:spacing w:before="240" w:after="0" w:line="240" w:lineRule="auto"/>
              <w:ind w:left="318" w:hanging="284"/>
            </w:pPr>
            <w:r>
              <w:t>L’“</w:t>
            </w:r>
            <w:r>
              <w:rPr>
                <w:color w:val="FF0000"/>
              </w:rPr>
              <w:t>ID paziente</w:t>
            </w:r>
            <w:r>
              <w:t>” è un codice unico assegnato a ciascun paziente dal sistema. È possibile utilizzarlo per identificare i pazienti di cui non si conosce o non è possibile inserire l’identità.</w:t>
            </w:r>
          </w:p>
        </w:tc>
      </w:tr>
    </w:tbl>
    <w:p w:rsidR="00B0629B" w:rsidRDefault="00B0629B">
      <w:pPr>
        <w:rPr>
          <w:rFonts w:ascii="Times New Roman" w:hAnsi="Times New Roman" w:cs="Times New Roman"/>
          <w:b/>
          <w:bCs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br w:type="page"/>
      </w:r>
      <w:r>
        <w:t>(patientData)</w:t>
      </w:r>
    </w:p>
    <w:p w:rsidR="00B0629B" w:rsidRDefault="00B0629B">
      <w:pPr>
        <w:rPr>
          <w:rFonts w:ascii="Times New Roman" w:hAnsi="Times New Roman" w:cs="Times New Roman"/>
          <w:b/>
          <w:bCs/>
        </w:rPr>
      </w:pPr>
    </w:p>
    <w:p w:rsidR="00B0629B" w:rsidRDefault="00B0629B">
      <w:pPr>
        <w:rPr>
          <w:b/>
          <w:bCs/>
        </w:rPr>
      </w:pPr>
      <w:r>
        <w:rPr>
          <w:b/>
          <w:bCs/>
        </w:rPr>
        <w:t>Cartella paziente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59"/>
        <w:gridCol w:w="1630"/>
        <w:gridCol w:w="1629"/>
        <w:gridCol w:w="3260"/>
      </w:tblGrid>
      <w:tr w:rsidR="00B0629B">
        <w:tc>
          <w:tcPr>
            <w:tcW w:w="4889" w:type="dxa"/>
            <w:gridSpan w:val="2"/>
          </w:tcPr>
          <w:p w:rsidR="00B0629B" w:rsidRDefault="00B0629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84" w:hanging="284"/>
            </w:pPr>
            <w:r>
              <w:t>Su ciascuna schermata della cartella, inserire le informazioni disponibili e passare alla schermata successiva medicante i pulsanti in basso nello schermo.</w:t>
            </w:r>
          </w:p>
        </w:tc>
        <w:tc>
          <w:tcPr>
            <w:tcW w:w="4889" w:type="dxa"/>
            <w:gridSpan w:val="2"/>
          </w:tcPr>
          <w:p w:rsidR="00B0629B" w:rsidRDefault="00B0629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56" w:hanging="283"/>
              <w:rPr>
                <w:rFonts w:ascii="Times New Roman" w:hAnsi="Times New Roman" w:cs="Times New Roman"/>
              </w:rPr>
            </w:pPr>
            <w:r>
              <w:t xml:space="preserve">Una volta completato l’inserimento in base alle proprie esigenze, è possibile passare all’acquisizione facendo clic sull’opzione del menu </w:t>
            </w:r>
            <w:r>
              <w:rPr>
                <w:color w:val="FFFFFF"/>
                <w:highlight w:val="darkGray"/>
              </w:rPr>
              <w:t>Acquisisci</w:t>
            </w:r>
          </w:p>
        </w:tc>
      </w:tr>
      <w:tr w:rsidR="00B0629B">
        <w:tc>
          <w:tcPr>
            <w:tcW w:w="9778" w:type="dxa"/>
            <w:gridSpan w:val="4"/>
          </w:tcPr>
          <w:p w:rsidR="00B0629B" w:rsidRDefault="00B06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  <w:highlight w:val="red"/>
              </w:rPr>
              <w:t>IMPORTANTE</w:t>
            </w:r>
          </w:p>
          <w:p w:rsidR="00B0629B" w:rsidRDefault="00B062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0629B" w:rsidRDefault="00B0629B">
            <w:pPr>
              <w:spacing w:after="0" w:line="240" w:lineRule="auto"/>
              <w:jc w:val="center"/>
            </w:pPr>
            <w:r>
              <w:t xml:space="preserve">Leggere prima di continuare nel percorso: attenzione al </w:t>
            </w:r>
            <w:r>
              <w:rPr>
                <w:color w:val="FF0000"/>
              </w:rPr>
              <w:t>blocco della cartella paziente</w:t>
            </w:r>
            <w:r>
              <w:t>!</w:t>
            </w:r>
          </w:p>
        </w:tc>
      </w:tr>
      <w:tr w:rsidR="00B0629B">
        <w:tc>
          <w:tcPr>
            <w:tcW w:w="3259" w:type="dxa"/>
          </w:tcPr>
          <w:p w:rsidR="00B0629B" w:rsidRDefault="00B062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(1)</w:t>
            </w:r>
          </w:p>
          <w:p w:rsidR="00B0629B" w:rsidRDefault="00B0629B">
            <w:pPr>
              <w:spacing w:after="0" w:line="240" w:lineRule="auto"/>
            </w:pPr>
            <w:r>
              <w:t xml:space="preserve">Una volta creato un nuovo appuntamento per un paziente, e </w:t>
            </w:r>
            <w:r>
              <w:rPr>
                <w:b/>
                <w:bCs/>
              </w:rPr>
              <w:t>finché non sarà abbandonato</w:t>
            </w:r>
            <w:r>
              <w:t xml:space="preserve">, tutto rimane disponibile ed è possibile spostarsi a piacimento tra una fase e l’altra (è anche possibile modificare la cartella paziente </w:t>
            </w:r>
            <w:r>
              <w:rPr>
                <w:b/>
                <w:bCs/>
              </w:rPr>
              <w:t>dopo</w:t>
            </w:r>
            <w:r>
              <w:t xml:space="preserve"> aver effettuato le acquisizioni e le misurazioni).</w:t>
            </w:r>
          </w:p>
        </w:tc>
        <w:tc>
          <w:tcPr>
            <w:tcW w:w="3259" w:type="dxa"/>
            <w:gridSpan w:val="2"/>
          </w:tcPr>
          <w:p w:rsidR="00B0629B" w:rsidRDefault="00B062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(2)</w:t>
            </w:r>
          </w:p>
          <w:p w:rsidR="00B0629B" w:rsidRDefault="00B0629B">
            <w:pPr>
              <w:spacing w:after="0" w:line="240" w:lineRule="auto"/>
            </w:pPr>
            <w:r>
              <w:t xml:space="preserve">Finché non sarà stata </w:t>
            </w:r>
            <w:r>
              <w:rPr>
                <w:b/>
                <w:bCs/>
              </w:rPr>
              <w:t>assegnata un’immagine a una regione vascolare</w:t>
            </w:r>
            <w:r>
              <w:t xml:space="preserve"> (fase “Acquisire”), è altresì possibile </w:t>
            </w:r>
            <w:r>
              <w:rPr>
                <w:b/>
                <w:bCs/>
              </w:rPr>
              <w:t>abbandonare l’appuntamento</w:t>
            </w:r>
            <w:r>
              <w:t xml:space="preserve"> e ritornarvi in seguito per </w:t>
            </w:r>
            <w:r>
              <w:rPr>
                <w:b/>
                <w:bCs/>
              </w:rPr>
              <w:t xml:space="preserve">completarlo o modificarlo </w:t>
            </w:r>
            <w:r>
              <w:t>(in tal modo è possibile, per es., preparare un appuntamento).</w:t>
            </w:r>
          </w:p>
        </w:tc>
        <w:tc>
          <w:tcPr>
            <w:tcW w:w="3260" w:type="dxa"/>
          </w:tcPr>
          <w:p w:rsidR="00B0629B" w:rsidRDefault="00B0629B">
            <w:pPr>
              <w:spacing w:after="0" w:line="240" w:lineRule="auto"/>
              <w:jc w:val="center"/>
            </w:pPr>
            <w:r>
              <w:t>(3)</w:t>
            </w:r>
          </w:p>
          <w:p w:rsidR="00B0629B" w:rsidRDefault="00B0629B">
            <w:pPr>
              <w:spacing w:after="0" w:line="240" w:lineRule="auto"/>
            </w:pPr>
            <w:r>
              <w:rPr>
                <w:color w:val="FF0000"/>
              </w:rPr>
              <w:t>Al contrario</w:t>
            </w:r>
            <w:r>
              <w:t xml:space="preserve">, se si abbandona una cartella / appuntamento </w:t>
            </w:r>
            <w:r>
              <w:rPr>
                <w:b/>
                <w:bCs/>
              </w:rPr>
              <w:t xml:space="preserve">dopo aver assegnato </w:t>
            </w:r>
            <w:r>
              <w:t xml:space="preserve">almeno un’immagine alla regione vascolare, l’appuntamento è considerato chiuso: la cartella paziente è visibile ma </w:t>
            </w:r>
            <w:r>
              <w:rPr>
                <w:b/>
                <w:bCs/>
              </w:rPr>
              <w:t>bloccata come pure l’acquisizione</w:t>
            </w:r>
            <w:r>
              <w:t xml:space="preserve"> (la fase </w:t>
            </w:r>
            <w:r>
              <w:rPr>
                <w:color w:val="FF0000"/>
              </w:rPr>
              <w:t>Acquisire</w:t>
            </w:r>
            <w:r>
              <w:t xml:space="preserve"> diventa </w:t>
            </w:r>
            <w:r>
              <w:rPr>
                <w:color w:val="FF0000"/>
              </w:rPr>
              <w:t>Visualizzare</w:t>
            </w:r>
            <w:r>
              <w:t>). È possibile però effettuare misurazioni sulle immagini assegnate e generare rapporti.</w:t>
            </w:r>
          </w:p>
        </w:tc>
      </w:tr>
    </w:tbl>
    <w:p w:rsidR="00B0629B" w:rsidRDefault="00B0629B">
      <w:pPr>
        <w:rPr>
          <w:rFonts w:ascii="Times New Roman" w:hAnsi="Times New Roman" w:cs="Times New Roman"/>
          <w:b/>
          <w:bCs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br w:type="page"/>
      </w:r>
      <w:r>
        <w:t>(patientSearch)</w:t>
      </w:r>
    </w:p>
    <w:p w:rsidR="00B0629B" w:rsidRDefault="00B0629B">
      <w:pPr>
        <w:rPr>
          <w:rFonts w:ascii="Times New Roman" w:hAnsi="Times New Roman" w:cs="Times New Roman"/>
          <w:b/>
          <w:bCs/>
        </w:rPr>
      </w:pPr>
    </w:p>
    <w:p w:rsidR="00B0629B" w:rsidRDefault="00B0629B">
      <w:pPr>
        <w:rPr>
          <w:b/>
          <w:bCs/>
        </w:rPr>
      </w:pPr>
      <w:r>
        <w:rPr>
          <w:b/>
          <w:bCs/>
        </w:rPr>
        <w:t>Selezione di un paziente / selezione o creazione di un appuntamento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45"/>
        <w:gridCol w:w="3433"/>
      </w:tblGrid>
      <w:tr w:rsidR="00B0629B">
        <w:tc>
          <w:tcPr>
            <w:tcW w:w="6345" w:type="dxa"/>
          </w:tcPr>
          <w:p w:rsidR="00B0629B" w:rsidRDefault="00B0629B">
            <w:pPr>
              <w:spacing w:after="0" w:line="240" w:lineRule="auto"/>
            </w:pPr>
            <w:r>
              <w:t>Quando si apre la schermata principale del “paziente”, è possibile:</w:t>
            </w:r>
          </w:p>
          <w:p w:rsidR="00B0629B" w:rsidRDefault="00B0629B">
            <w:pPr>
              <w:pStyle w:val="ListParagraph"/>
              <w:numPr>
                <w:ilvl w:val="0"/>
                <w:numId w:val="12"/>
              </w:numPr>
              <w:spacing w:before="240" w:after="0" w:line="240" w:lineRule="auto"/>
              <w:ind w:left="284" w:hanging="284"/>
            </w:pPr>
            <w:r>
              <w:t xml:space="preserve">Lavorare su un </w:t>
            </w:r>
            <w:r>
              <w:rPr>
                <w:color w:val="FF0000"/>
              </w:rPr>
              <w:t>paziente esistente</w:t>
            </w:r>
            <w:r>
              <w:t xml:space="preserve"> (parte sinistra dello schermo), facendo clic sulla relativa riga dell’elenco, o</w:t>
            </w:r>
          </w:p>
          <w:p w:rsidR="00B0629B" w:rsidRDefault="00B0629B">
            <w:pPr>
              <w:pStyle w:val="ListParagraph"/>
              <w:numPr>
                <w:ilvl w:val="0"/>
                <w:numId w:val="12"/>
              </w:numPr>
              <w:spacing w:before="240" w:after="0" w:line="240" w:lineRule="auto"/>
              <w:ind w:left="284" w:hanging="284"/>
            </w:pPr>
            <w:r>
              <w:rPr>
                <w:color w:val="FF0000"/>
              </w:rPr>
              <w:t>Creare un nuovo paziente</w:t>
            </w:r>
            <w:r>
              <w:t xml:space="preserve"> (parte destra dello schermo). Fare clic su “Avanti” per la guida.</w:t>
            </w:r>
          </w:p>
          <w:p w:rsidR="00B0629B" w:rsidRDefault="00B0629B">
            <w:pPr>
              <w:pStyle w:val="ListParagraph"/>
              <w:numPr>
                <w:ilvl w:val="0"/>
                <w:numId w:val="12"/>
              </w:numPr>
              <w:spacing w:before="240"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>
              <w:t xml:space="preserve">È possibile selezionare un paziente esistente facendo clic sul suo nome nell’elenco oppure premendo il pulsante </w:t>
            </w:r>
            <w:r>
              <w:rPr>
                <w:color w:val="FFFFFF"/>
                <w:highlight w:val="red"/>
              </w:rPr>
              <w:t>Cerca</w:t>
            </w:r>
          </w:p>
          <w:p w:rsidR="00B0629B" w:rsidRDefault="00B0629B">
            <w:pPr>
              <w:pStyle w:val="ListParagraph"/>
              <w:numPr>
                <w:ilvl w:val="0"/>
                <w:numId w:val="12"/>
              </w:numPr>
              <w:spacing w:before="240" w:after="0" w:line="240" w:lineRule="auto"/>
              <w:ind w:left="284" w:hanging="284"/>
            </w:pPr>
            <w:r>
              <w:t>Una volta selezionato un paziente, i suoi dati vengono visualizzati nella parte destra dello schermo e vengono attivati i pulsanti seguenti:</w:t>
            </w:r>
          </w:p>
          <w:p w:rsidR="00B0629B" w:rsidRDefault="00B0629B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color w:val="FFFFFF"/>
              </w:rPr>
            </w:pPr>
            <w:r>
              <w:rPr>
                <w:color w:val="FFFFFF"/>
                <w:highlight w:val="red"/>
              </w:rPr>
              <w:t>Creare un nuovo appuntamento</w:t>
            </w:r>
            <w:r>
              <w:rPr>
                <w:color w:val="FFFFFF"/>
              </w:rPr>
              <w:t xml:space="preserve">   </w:t>
            </w:r>
            <w:r>
              <w:rPr>
                <w:color w:val="FFFFFF"/>
                <w:highlight w:val="red"/>
              </w:rPr>
              <w:t>Scegliere un appuntamento</w:t>
            </w:r>
          </w:p>
        </w:tc>
        <w:tc>
          <w:tcPr>
            <w:tcW w:w="3433" w:type="dxa"/>
          </w:tcPr>
          <w:p w:rsidR="00B0629B" w:rsidRDefault="00B0629B">
            <w:pPr>
              <w:spacing w:after="0" w:line="240" w:lineRule="auto"/>
            </w:pPr>
            <w:r>
              <w:t>“</w:t>
            </w:r>
            <w:r>
              <w:rPr>
                <w:color w:val="FF0000"/>
              </w:rPr>
              <w:t>Creare un appuntamento</w:t>
            </w:r>
            <w:r>
              <w:t>” crea un appuntamento per la data indicata nel campo “data della visita” e passa automaticamente alla schermata successiva (“Fattori di rischio di aterosclerosi”).</w:t>
            </w:r>
          </w:p>
          <w:p w:rsidR="00B0629B" w:rsidRDefault="00B0629B">
            <w:pPr>
              <w:spacing w:after="0" w:line="240" w:lineRule="auto"/>
            </w:pPr>
          </w:p>
          <w:p w:rsidR="00B0629B" w:rsidRDefault="00B0629B">
            <w:pPr>
              <w:spacing w:after="0" w:line="240" w:lineRule="auto"/>
            </w:pPr>
            <w:r>
              <w:t>“</w:t>
            </w:r>
            <w:r>
              <w:rPr>
                <w:color w:val="FF0000"/>
              </w:rPr>
              <w:t>Scegliere un appuntamento</w:t>
            </w:r>
            <w:r>
              <w:t xml:space="preserve">” presenta l’elenco degli </w:t>
            </w:r>
            <w:r>
              <w:rPr>
                <w:color w:val="FF0000"/>
              </w:rPr>
              <w:t>appuntamenti passati</w:t>
            </w:r>
            <w:r>
              <w:t xml:space="preserve"> (immagini assegnate a una regione vascolare che viene indicata) </w:t>
            </w:r>
            <w:r>
              <w:rPr>
                <w:color w:val="FF0000"/>
              </w:rPr>
              <w:t>o in corso</w:t>
            </w:r>
            <w:r>
              <w:t xml:space="preserve"> (viene visualizzata solo la data). Una volta effettuata la selezione, viene visualizzata la schermata successiva.</w:t>
            </w:r>
          </w:p>
        </w:tc>
      </w:tr>
    </w:tbl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t>(patientTab)</w:t>
      </w:r>
    </w:p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rFonts w:ascii="Times New Roman" w:hAnsi="Times New Roman" w:cs="Times New Roman"/>
          <w:b/>
          <w:bCs/>
        </w:rPr>
      </w:pPr>
      <w:r>
        <w:rPr>
          <w:b/>
          <w:bCs/>
        </w:rPr>
        <w:t>Schede pazienti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96"/>
        <w:gridCol w:w="3650"/>
      </w:tblGrid>
      <w:tr w:rsidR="00B0629B">
        <w:tc>
          <w:tcPr>
            <w:tcW w:w="6096" w:type="dxa"/>
          </w:tcPr>
          <w:p w:rsidR="00B0629B" w:rsidRDefault="00B0629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8" w:hanging="284"/>
            </w:pPr>
            <w:r>
              <w:t xml:space="preserve">Le schede, in forma di </w:t>
            </w:r>
            <w:r>
              <w:rPr>
                <w:color w:val="FF0000"/>
              </w:rPr>
              <w:t>percorso con frecce</w:t>
            </w:r>
            <w:r>
              <w:t xml:space="preserve">, sono disponibili non appena si crea o si seleziona un appuntamento. Consentono di accedere direttamente a una delle schermate della cartella paziente. </w:t>
            </w:r>
          </w:p>
          <w:p w:rsidR="00B0629B" w:rsidRDefault="00B0629B">
            <w:pPr>
              <w:pStyle w:val="ListParagraph"/>
              <w:numPr>
                <w:ilvl w:val="0"/>
                <w:numId w:val="14"/>
              </w:numPr>
              <w:spacing w:before="240" w:after="0" w:line="240" w:lineRule="auto"/>
              <w:ind w:left="318" w:hanging="284"/>
            </w:pPr>
            <w:r>
              <w:t xml:space="preserve">È anche possibile spostarsi da una schermata all’altra mediante i </w:t>
            </w:r>
            <w:r>
              <w:rPr>
                <w:color w:val="FF0000"/>
              </w:rPr>
              <w:t>collegamenti</w:t>
            </w:r>
            <w:r>
              <w:t xml:space="preserve">  posti sotto il percorso: nell’esempio riportato di seguito, sono le schermate che precedono e seguono “Anamnesi personale” che è quindi la schermata in corso.</w:t>
            </w:r>
          </w:p>
        </w:tc>
        <w:tc>
          <w:tcPr>
            <w:tcW w:w="3650" w:type="dxa"/>
          </w:tcPr>
          <w:p w:rsidR="00B0629B" w:rsidRDefault="00B0629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42" w:hanging="242"/>
            </w:pPr>
            <w:r>
              <w:t>È possibile tornare alla schermata “cartella paziente” senza abbandonare l’appuntamento in corso al fine, per esempio, di consultare i dati di base del paziente.</w:t>
            </w:r>
          </w:p>
        </w:tc>
      </w:tr>
    </w:tbl>
    <w:p w:rsidR="00B0629B" w:rsidRDefault="00B0629B">
      <w:pPr>
        <w:jc w:val="center"/>
        <w:rPr>
          <w:rFonts w:ascii="Times New Roman" w:hAnsi="Times New Roman" w:cs="Times New Roman"/>
          <w:b/>
          <w:bCs/>
        </w:rPr>
      </w:pPr>
    </w:p>
    <w:p w:rsidR="00B0629B" w:rsidRDefault="00B0629B">
      <w:pPr>
        <w:jc w:val="center"/>
        <w:rPr>
          <w:rFonts w:ascii="Times New Roman" w:hAnsi="Times New Roman" w:cs="Times New Roman"/>
        </w:rPr>
      </w:pPr>
      <w:r>
        <w:t>Collegamento alla schermata precedente</w:t>
      </w:r>
      <w:r>
        <w:tab/>
      </w:r>
      <w:r>
        <w:tab/>
        <w:t>Collegamento alla schermata successiva</w:t>
      </w:r>
    </w:p>
    <w:p w:rsidR="00B0629B" w:rsidRDefault="00B0629B">
      <w:pPr>
        <w:jc w:val="center"/>
      </w:pPr>
      <w:r>
        <w:t>Fattori di rischio di aterosclerosi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Anamnesi familiare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78"/>
        <w:gridCol w:w="2399"/>
        <w:gridCol w:w="1618"/>
        <w:gridCol w:w="1549"/>
        <w:gridCol w:w="1820"/>
        <w:gridCol w:w="1090"/>
      </w:tblGrid>
      <w:tr w:rsidR="00B0629B">
        <w:tc>
          <w:tcPr>
            <w:tcW w:w="0" w:type="auto"/>
            <w:vAlign w:val="center"/>
          </w:tcPr>
          <w:p w:rsidR="00B0629B" w:rsidRDefault="00B062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Cartella paziente</w:t>
            </w:r>
          </w:p>
        </w:tc>
        <w:tc>
          <w:tcPr>
            <w:tcW w:w="0" w:type="auto"/>
            <w:vAlign w:val="center"/>
          </w:tcPr>
          <w:p w:rsidR="00B0629B" w:rsidRDefault="00B062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Fattori di rischio di aterosclerosi</w:t>
            </w:r>
          </w:p>
        </w:tc>
        <w:tc>
          <w:tcPr>
            <w:tcW w:w="0" w:type="auto"/>
            <w:shd w:val="clear" w:color="auto" w:fill="800000"/>
            <w:vAlign w:val="center"/>
          </w:tcPr>
          <w:p w:rsidR="00B0629B" w:rsidRDefault="00B0629B">
            <w:pPr>
              <w:spacing w:after="0" w:line="240" w:lineRule="auto"/>
              <w:jc w:val="center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Anamnesi personale</w:t>
            </w:r>
          </w:p>
        </w:tc>
        <w:tc>
          <w:tcPr>
            <w:tcW w:w="0" w:type="auto"/>
            <w:vAlign w:val="center"/>
          </w:tcPr>
          <w:p w:rsidR="00B0629B" w:rsidRDefault="00B062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Anamnesi familiare</w:t>
            </w:r>
          </w:p>
        </w:tc>
        <w:tc>
          <w:tcPr>
            <w:tcW w:w="0" w:type="auto"/>
            <w:vAlign w:val="center"/>
          </w:tcPr>
          <w:p w:rsidR="00B0629B" w:rsidRDefault="00B062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Esame cardiovascolare</w:t>
            </w:r>
          </w:p>
        </w:tc>
        <w:tc>
          <w:tcPr>
            <w:tcW w:w="0" w:type="auto"/>
            <w:vAlign w:val="center"/>
          </w:tcPr>
          <w:p w:rsidR="00B0629B" w:rsidRDefault="00B062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Trattamenti</w:t>
            </w:r>
          </w:p>
        </w:tc>
      </w:tr>
    </w:tbl>
    <w:p w:rsidR="00B0629B" w:rsidRDefault="00B0629B">
      <w:pPr>
        <w:tabs>
          <w:tab w:val="left" w:pos="1843"/>
          <w:tab w:val="left" w:pos="4962"/>
          <w:tab w:val="left" w:pos="7088"/>
          <w:tab w:val="left" w:pos="8080"/>
        </w:tabs>
        <w:jc w:val="both"/>
        <w:rPr>
          <w:rFonts w:ascii="Times New Roman" w:hAnsi="Times New Roman" w:cs="Times New Roman"/>
          <w:sz w:val="18"/>
          <w:szCs w:val="18"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t>(physicianMenu)</w:t>
      </w:r>
    </w:p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b/>
          <w:bCs/>
        </w:rPr>
      </w:pPr>
      <w:r>
        <w:rPr>
          <w:b/>
          <w:bCs/>
        </w:rPr>
        <w:t>Menu principale</w:t>
      </w:r>
    </w:p>
    <w:p w:rsidR="00B0629B" w:rsidRDefault="00B0629B">
      <w:r>
        <w:t>Paziente -&gt; Acquisire -&gt; Misurazioni -&gt; Rapporto -&gt; Profilo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9"/>
        <w:gridCol w:w="3149"/>
      </w:tblGrid>
      <w:tr w:rsidR="00B0629B">
        <w:tc>
          <w:tcPr>
            <w:tcW w:w="6629" w:type="dxa"/>
          </w:tcPr>
          <w:p w:rsidR="00B0629B" w:rsidRDefault="00B0629B">
            <w:pPr>
              <w:pStyle w:val="ListParagraph"/>
              <w:numPr>
                <w:ilvl w:val="0"/>
                <w:numId w:val="15"/>
              </w:numPr>
              <w:spacing w:before="240" w:after="0" w:line="240" w:lineRule="auto"/>
              <w:ind w:left="284" w:hanging="142"/>
              <w:rPr>
                <w:rFonts w:ascii="Times New Roman" w:hAnsi="Times New Roman" w:cs="Times New Roman"/>
                <w:color w:val="FF0000"/>
              </w:rPr>
            </w:pPr>
            <w:r>
              <w:rPr>
                <w:color w:val="FF0000"/>
              </w:rPr>
              <w:t>Paziente</w:t>
            </w:r>
            <w:r>
              <w:t>: selezione o creazione del paziente, selezione o creazione di un appuntamento, inserimento dei dati della cartella paziente.</w:t>
            </w:r>
          </w:p>
          <w:p w:rsidR="00B0629B" w:rsidRDefault="00B0629B">
            <w:pPr>
              <w:pStyle w:val="ListParagraph"/>
              <w:numPr>
                <w:ilvl w:val="0"/>
                <w:numId w:val="15"/>
              </w:numPr>
              <w:spacing w:before="240" w:after="0" w:line="240" w:lineRule="auto"/>
              <w:ind w:left="284" w:hanging="142"/>
              <w:rPr>
                <w:rFonts w:ascii="Times New Roman" w:hAnsi="Times New Roman" w:cs="Times New Roman"/>
                <w:color w:val="FF0000"/>
              </w:rPr>
            </w:pPr>
            <w:r>
              <w:rPr>
                <w:color w:val="FF0000"/>
              </w:rPr>
              <w:t>Acquisire</w:t>
            </w:r>
            <w:r>
              <w:t>: importazione (dal disco rigido o dalla sonda ecografica) delle immagini e assegnazione alle regioni vascolari corrispondenti.</w:t>
            </w:r>
          </w:p>
          <w:p w:rsidR="00B0629B" w:rsidRDefault="00B0629B">
            <w:pPr>
              <w:pStyle w:val="ListParagraph"/>
              <w:numPr>
                <w:ilvl w:val="0"/>
                <w:numId w:val="15"/>
              </w:numPr>
              <w:spacing w:before="240" w:after="0" w:line="240" w:lineRule="auto"/>
              <w:ind w:left="284" w:hanging="142"/>
              <w:rPr>
                <w:rFonts w:ascii="Times New Roman" w:hAnsi="Times New Roman" w:cs="Times New Roman"/>
                <w:color w:val="FF0000"/>
              </w:rPr>
            </w:pPr>
            <w:r>
              <w:rPr>
                <w:color w:val="FF0000"/>
              </w:rPr>
              <w:t>Misurazioni</w:t>
            </w:r>
            <w:r>
              <w:t>: esecuzione delle misurazioni SMI, distanza e superficie sulle immagini disponibili.</w:t>
            </w:r>
          </w:p>
          <w:p w:rsidR="00B0629B" w:rsidRDefault="00B0629B">
            <w:pPr>
              <w:pStyle w:val="ListParagraph"/>
              <w:numPr>
                <w:ilvl w:val="0"/>
                <w:numId w:val="15"/>
              </w:numPr>
              <w:spacing w:before="240" w:after="0" w:line="240" w:lineRule="auto"/>
              <w:ind w:left="284" w:hanging="142"/>
              <w:rPr>
                <w:rFonts w:ascii="Times New Roman" w:hAnsi="Times New Roman" w:cs="Times New Roman"/>
                <w:color w:val="FF0000"/>
              </w:rPr>
            </w:pPr>
            <w:r>
              <w:rPr>
                <w:color w:val="FF0000"/>
              </w:rPr>
              <w:t>Rapporto</w:t>
            </w:r>
            <w:r>
              <w:t>: inserimento del rapporto, produzione del rapporto della misurazione, invio tramite e-mail ai destinatari desiderati.</w:t>
            </w:r>
          </w:p>
          <w:p w:rsidR="00B0629B" w:rsidRDefault="00B0629B">
            <w:pPr>
              <w:spacing w:before="240" w:after="0" w:line="240" w:lineRule="auto"/>
            </w:pPr>
            <w:r>
              <w:t>L’opzione</w:t>
            </w:r>
            <w:r>
              <w:rPr>
                <w:color w:val="FF0000"/>
              </w:rPr>
              <w:t xml:space="preserve"> Profilo </w:t>
            </w:r>
            <w:r>
              <w:t>consente di aggiornare l’account, consultare la cronologia delle transazioni e regolare i parametri.</w:t>
            </w:r>
          </w:p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t xml:space="preserve">L’opzione </w:t>
            </w:r>
            <w:r>
              <w:rPr>
                <w:color w:val="FF0000"/>
              </w:rPr>
              <w:t>Acquisire</w:t>
            </w:r>
            <w:r>
              <w:t xml:space="preserve"> diventa </w:t>
            </w:r>
            <w:r>
              <w:rPr>
                <w:color w:val="FF0000"/>
              </w:rPr>
              <w:t>Visualizzare</w:t>
            </w:r>
            <w:r>
              <w:t xml:space="preserve"> quando l’appuntamento è considerato chiuso (misurazioni e rapporti restano disponibili).</w:t>
            </w:r>
          </w:p>
        </w:tc>
        <w:tc>
          <w:tcPr>
            <w:tcW w:w="3149" w:type="dxa"/>
          </w:tcPr>
          <w:p w:rsidR="00B0629B" w:rsidRDefault="00B0629B">
            <w:pPr>
              <w:pStyle w:val="ListParagraph"/>
              <w:spacing w:after="0" w:line="240" w:lineRule="auto"/>
              <w:ind w:left="175" w:hanging="141"/>
            </w:pPr>
            <w:r>
              <w:rPr>
                <w:rFonts w:ascii="Times New Roman" w:hAnsi="Times New Roman" w:cs="Times New Roman"/>
              </w:rPr>
              <w:t>•</w:t>
            </w:r>
            <w:r>
              <w:t xml:space="preserve"> Le </w:t>
            </w:r>
            <w:r>
              <w:rPr>
                <w:b/>
                <w:bCs/>
              </w:rPr>
              <w:t>fasi in</w:t>
            </w:r>
            <w:r>
              <w:t xml:space="preserve"> </w:t>
            </w:r>
            <w:r>
              <w:rPr>
                <w:color w:val="FF0000"/>
              </w:rPr>
              <w:t>rosso</w:t>
            </w:r>
            <w:r>
              <w:t xml:space="preserve"> </w:t>
            </w:r>
            <w:r>
              <w:rPr>
                <w:b/>
                <w:bCs/>
              </w:rPr>
              <w:t xml:space="preserve">non </w:t>
            </w:r>
            <w:r>
              <w:t>sono</w:t>
            </w:r>
            <w:r>
              <w:rPr>
                <w:b/>
                <w:bCs/>
              </w:rPr>
              <w:t xml:space="preserve"> ancora disponibili</w:t>
            </w:r>
            <w:r>
              <w:t>. Lo diventano una volta completata la fase precedente.</w:t>
            </w:r>
          </w:p>
          <w:p w:rsidR="00B0629B" w:rsidRDefault="00B0629B">
            <w:pPr>
              <w:pStyle w:val="ListParagraph"/>
              <w:spacing w:before="240" w:after="0" w:line="240" w:lineRule="auto"/>
              <w:ind w:left="175" w:hanging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</w:t>
            </w:r>
            <w:r>
              <w:t xml:space="preserve"> Durante la gestione di una cartella, è possibile </w:t>
            </w:r>
            <w:r>
              <w:rPr>
                <w:b/>
                <w:bCs/>
              </w:rPr>
              <w:t>navigare liberamente</w:t>
            </w:r>
            <w:r>
              <w:t xml:space="preserve"> tra le fasi disponibili in qualsiasi senso (per es. per correggere un elemento) </w:t>
            </w:r>
            <w:r>
              <w:rPr>
                <w:b/>
                <w:bCs/>
              </w:rPr>
              <w:t>senza perdere il lavoro svolto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t>(reportConfiguration)</w:t>
      </w:r>
    </w:p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b/>
          <w:bCs/>
        </w:rPr>
      </w:pPr>
      <w:r>
        <w:rPr>
          <w:b/>
          <w:bCs/>
        </w:rPr>
        <w:t>Rapporto: configurazione del rapporto</w:t>
      </w:r>
    </w:p>
    <w:tbl>
      <w:tblPr>
        <w:tblW w:w="0" w:type="auto"/>
        <w:tblInd w:w="-106" w:type="dxa"/>
        <w:tblLook w:val="0000"/>
      </w:tblPr>
      <w:tblGrid>
        <w:gridCol w:w="3527"/>
        <w:gridCol w:w="3527"/>
        <w:gridCol w:w="2724"/>
      </w:tblGrid>
      <w:tr w:rsidR="00B0629B">
        <w:trPr>
          <w:cantSplit/>
        </w:trPr>
        <w:tc>
          <w:tcPr>
            <w:tcW w:w="70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629B" w:rsidRDefault="00B0629B">
            <w:pPr>
              <w:spacing w:after="0" w:line="240" w:lineRule="auto"/>
            </w:pPr>
            <w:r>
              <w:t xml:space="preserve">Nell’area “Configurazione del rapporto”, le immagini assegnate sono visualizzate nuovamente e i segmenti arteriosi interessati vengono evidenziati. </w:t>
            </w:r>
            <w:r>
              <w:rPr>
                <w:color w:val="FF0000"/>
              </w:rPr>
              <w:t>A seconda del tipo di immagini disponibili e della regione vascolare</w:t>
            </w:r>
            <w:r>
              <w:t>, alcune scelte sono attive altre no:</w:t>
            </w:r>
          </w:p>
          <w:p w:rsidR="00B0629B" w:rsidRDefault="00B0629B">
            <w:pPr>
              <w:spacing w:after="0" w:line="240" w:lineRule="auto"/>
            </w:pPr>
          </w:p>
        </w:tc>
        <w:tc>
          <w:tcPr>
            <w:tcW w:w="272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29B" w:rsidRDefault="00B0629B">
            <w:pPr>
              <w:spacing w:after="0" w:line="240" w:lineRule="auto"/>
              <w:ind w:left="176" w:hanging="142"/>
            </w:pPr>
            <w:r>
              <w:rPr>
                <w:rFonts w:ascii="Times New Roman" w:hAnsi="Times New Roman" w:cs="Times New Roman"/>
              </w:rPr>
              <w:t>•</w:t>
            </w:r>
            <w:r>
              <w:t xml:space="preserve"> La sezione Rapporto dell’applicazione è disponibile non appena si eseguono le misurazioni.</w:t>
            </w:r>
          </w:p>
          <w:p w:rsidR="00B0629B" w:rsidRDefault="00B0629B">
            <w:pPr>
              <w:spacing w:after="0" w:line="240" w:lineRule="auto"/>
              <w:ind w:left="176" w:hanging="142"/>
            </w:pPr>
          </w:p>
          <w:p w:rsidR="00B0629B" w:rsidRDefault="00B0629B">
            <w:pPr>
              <w:spacing w:after="0" w:line="240" w:lineRule="auto"/>
              <w:ind w:left="176" w:hanging="142"/>
            </w:pPr>
            <w:r>
              <w:t>• I rapporti non vengono salvati, ma vengono generati su richiesta.</w:t>
            </w:r>
          </w:p>
        </w:tc>
      </w:tr>
      <w:tr w:rsidR="00B0629B">
        <w:trPr>
          <w:cantSplit/>
        </w:trPr>
        <w:tc>
          <w:tcPr>
            <w:tcW w:w="3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629B" w:rsidRDefault="00B0629B">
            <w:pPr>
              <w:spacing w:after="0" w:line="240" w:lineRule="auto"/>
              <w:jc w:val="center"/>
              <w:rPr>
                <w:color w:val="FFFFFF"/>
                <w:highlight w:val="red"/>
              </w:rPr>
            </w:pPr>
            <w:r>
              <w:rPr>
                <w:color w:val="FFFFFF"/>
                <w:highlight w:val="red"/>
              </w:rPr>
              <w:t>Rapporto SMIC</w:t>
            </w:r>
          </w:p>
          <w:p w:rsidR="00B0629B" w:rsidRDefault="00B0629B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color w:val="FFFFFF"/>
              </w:rPr>
            </w:pPr>
            <w:r>
              <w:rPr>
                <w:color w:val="FFFFFF"/>
                <w:highlight w:val="red"/>
              </w:rPr>
              <w:t>Rapporto 6 immagini</w:t>
            </w:r>
          </w:p>
        </w:tc>
        <w:tc>
          <w:tcPr>
            <w:tcW w:w="35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629B" w:rsidRDefault="00B0629B">
            <w:pPr>
              <w:spacing w:after="0" w:line="240" w:lineRule="auto"/>
              <w:ind w:left="159" w:hanging="142"/>
            </w:pPr>
            <w:r>
              <w:rPr>
                <w:rFonts w:ascii="Times New Roman" w:hAnsi="Times New Roman" w:cs="Times New Roman"/>
              </w:rPr>
              <w:t>•</w:t>
            </w:r>
            <w:r>
              <w:t xml:space="preserve"> Selezionare un rapporto SMI standard (carotide comune, arti inferiori, arterie comuni) o un rapporto 6 immagini.</w:t>
            </w:r>
          </w:p>
        </w:tc>
        <w:tc>
          <w:tcPr>
            <w:tcW w:w="272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0629B">
        <w:trPr>
          <w:cantSplit/>
        </w:trPr>
        <w:tc>
          <w:tcPr>
            <w:tcW w:w="3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629B" w:rsidRDefault="00B0629B">
            <w:pPr>
              <w:spacing w:after="0" w:line="240" w:lineRule="auto"/>
              <w:jc w:val="center"/>
            </w:pPr>
            <w:r>
              <w:t>Selezione dell’abaco</w:t>
            </w:r>
          </w:p>
        </w:tc>
        <w:tc>
          <w:tcPr>
            <w:tcW w:w="35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629B" w:rsidRDefault="00B0629B">
            <w:pPr>
              <w:spacing w:after="0" w:line="240" w:lineRule="auto"/>
              <w:ind w:left="159" w:hanging="142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0629B">
        <w:trPr>
          <w:cantSplit/>
        </w:trPr>
        <w:tc>
          <w:tcPr>
            <w:tcW w:w="3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629B" w:rsidRDefault="00B0629B">
            <w:pPr>
              <w:spacing w:after="0" w:line="240" w:lineRule="auto"/>
              <w:jc w:val="center"/>
              <w:rPr>
                <w:color w:val="FFFFFF"/>
                <w:highlight w:val="red"/>
              </w:rPr>
            </w:pPr>
            <w:r>
              <w:rPr>
                <w:color w:val="FFFFFF"/>
                <w:highlight w:val="red"/>
              </w:rPr>
              <w:t>Europa, Francia, 30-79 anni, PARC 2009 (mean)</w:t>
            </w:r>
          </w:p>
        </w:tc>
        <w:tc>
          <w:tcPr>
            <w:tcW w:w="35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629B" w:rsidRDefault="00B0629B">
            <w:pPr>
              <w:spacing w:after="0" w:line="240" w:lineRule="auto"/>
              <w:ind w:left="159" w:hanging="142"/>
            </w:pPr>
            <w:r>
              <w:rPr>
                <w:rFonts w:ascii="Times New Roman" w:hAnsi="Times New Roman" w:cs="Times New Roman"/>
              </w:rPr>
              <w:t>•</w:t>
            </w:r>
            <w:r>
              <w:t xml:space="preserve"> Selezionare un abaco di riferimento</w:t>
            </w:r>
          </w:p>
        </w:tc>
        <w:tc>
          <w:tcPr>
            <w:tcW w:w="272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0629B">
        <w:trPr>
          <w:cantSplit/>
        </w:trPr>
        <w:tc>
          <w:tcPr>
            <w:tcW w:w="70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0629B" w:rsidRDefault="00B0629B">
            <w:pPr>
              <w:spacing w:after="0" w:line="240" w:lineRule="auto"/>
              <w:ind w:left="159" w:hanging="17"/>
            </w:pPr>
            <w:r>
              <w:t xml:space="preserve">Gli </w:t>
            </w:r>
            <w:r>
              <w:rPr>
                <w:color w:val="FF0000"/>
              </w:rPr>
              <w:t>abachi</w:t>
            </w:r>
            <w:r>
              <w:t xml:space="preserve"> si riferiscono ai diversi studi eseguiti per i quali esistono </w:t>
            </w:r>
            <w:r>
              <w:rPr>
                <w:color w:val="FF0000"/>
              </w:rPr>
              <w:t>valori di riferimento</w:t>
            </w:r>
            <w:r>
              <w:t>. È importante confrontare, ove possibile, i risultati del paziente con questo database di valori di riferimento noti per arrivare a una stima del rischio del paziente rispetto a quella della popolazione in generale.</w:t>
            </w:r>
          </w:p>
        </w:tc>
        <w:tc>
          <w:tcPr>
            <w:tcW w:w="272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29B" w:rsidRDefault="00B062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t>(reportData)</w:t>
      </w:r>
    </w:p>
    <w:p w:rsidR="00B0629B" w:rsidRDefault="00B0629B">
      <w:pPr>
        <w:rPr>
          <w:rFonts w:ascii="Times New Roman" w:hAnsi="Times New Roman" w:cs="Times New Roman"/>
        </w:rPr>
      </w:pPr>
    </w:p>
    <w:p w:rsidR="00B0629B" w:rsidRDefault="00B0629B">
      <w:pPr>
        <w:rPr>
          <w:rFonts w:ascii="Times New Roman" w:hAnsi="Times New Roman" w:cs="Times New Roman"/>
          <w:b/>
          <w:bCs/>
        </w:rPr>
      </w:pPr>
      <w:r>
        <w:rPr>
          <w:b/>
          <w:bCs/>
        </w:rPr>
        <w:t>Rapporto: inserimento, produzione, invio</w:t>
      </w:r>
    </w:p>
    <w:p w:rsidR="00B0629B" w:rsidRDefault="00B0629B">
      <w:r>
        <w:t>Nel riquadro “</w:t>
      </w:r>
      <w:r>
        <w:rPr>
          <w:color w:val="FF0000"/>
        </w:rPr>
        <w:t>Inserimento del rapporto</w:t>
      </w:r>
      <w:r>
        <w:t>”, è possibile:</w:t>
      </w:r>
    </w:p>
    <w:p w:rsidR="00B0629B" w:rsidRDefault="00B0629B">
      <w:pPr>
        <w:pStyle w:val="ListParagraph"/>
        <w:numPr>
          <w:ilvl w:val="0"/>
          <w:numId w:val="16"/>
        </w:numPr>
      </w:pPr>
      <w:r>
        <w:t>Inserire indicazioni</w:t>
      </w:r>
    </w:p>
    <w:p w:rsidR="00B0629B" w:rsidRDefault="00B0629B">
      <w:pPr>
        <w:pStyle w:val="ListParagraph"/>
        <w:numPr>
          <w:ilvl w:val="0"/>
          <w:numId w:val="16"/>
        </w:numPr>
      </w:pPr>
      <w:r>
        <w:t>Riportare segni clinici</w:t>
      </w:r>
    </w:p>
    <w:p w:rsidR="00B0629B" w:rsidRDefault="00B0629B">
      <w:pPr>
        <w:pStyle w:val="ListParagraph"/>
        <w:numPr>
          <w:ilvl w:val="0"/>
          <w:numId w:val="16"/>
        </w:numPr>
      </w:pPr>
      <w:r>
        <w:t>Redigere un rapporto</w:t>
      </w:r>
    </w:p>
    <w:p w:rsidR="00B0629B" w:rsidRDefault="00B0629B">
      <w:r>
        <w:t>Queste informazioni saranno inserite nel rapporto e salvate: se si ritorna su di esse i testi vengono nuovamente visualizzati.</w:t>
      </w:r>
    </w:p>
    <w:p w:rsidR="00B0629B" w:rsidRDefault="00B0629B"/>
    <w:p w:rsidR="00B0629B" w:rsidRDefault="00B0629B">
      <w:pPr>
        <w:rPr>
          <w:rFonts w:ascii="Times New Roman" w:hAnsi="Times New Roman" w:cs="Times New Roman"/>
        </w:rPr>
      </w:pPr>
      <w:r>
        <w:t>Nel riquadro “</w:t>
      </w:r>
      <w:r>
        <w:rPr>
          <w:color w:val="FF0000"/>
        </w:rPr>
        <w:t>Destinatari</w:t>
      </w:r>
      <w:r>
        <w:t>”, è possibile indicare, se necessario, un elenco di indirizzi e-mail a cui sarà inviato automaticamente il rapporto</w:t>
      </w:r>
      <w:r>
        <w:rPr>
          <w:color w:val="FF0000"/>
        </w:rPr>
        <w:t xml:space="preserve"> non appena prodotto</w:t>
      </w:r>
      <w:r>
        <w:rPr>
          <w:rFonts w:ascii="Times New Roman" w:hAnsi="Times New Roman" w:cs="Times New Roman"/>
        </w:rPr>
        <w:t>.</w:t>
      </w:r>
    </w:p>
    <w:p w:rsidR="00B0629B" w:rsidRDefault="00B0629B">
      <w:r>
        <w:t>Nel riquadro “</w:t>
      </w:r>
      <w:r>
        <w:rPr>
          <w:color w:val="FF0000"/>
        </w:rPr>
        <w:t>Pubblicazione in PDF</w:t>
      </w:r>
      <w:r>
        <w:t>”, è possibile:</w:t>
      </w:r>
    </w:p>
    <w:p w:rsidR="00B0629B" w:rsidRDefault="00B0629B">
      <w:pPr>
        <w:pStyle w:val="ListParagraph"/>
        <w:numPr>
          <w:ilvl w:val="0"/>
          <w:numId w:val="17"/>
        </w:numPr>
      </w:pPr>
      <w:r>
        <w:t>Scaricare il programma di visualizzazione Adobe Acrobat, se necessario,</w:t>
      </w:r>
    </w:p>
    <w:p w:rsidR="00B0629B" w:rsidRDefault="00B0629B">
      <w:pPr>
        <w:pStyle w:val="ListParagraph"/>
        <w:numPr>
          <w:ilvl w:val="0"/>
          <w:numId w:val="17"/>
        </w:numPr>
      </w:pPr>
      <w:r>
        <w:t>Visualizzare il grafico al fine di controllare il rapporto prima di emetterlo,</w:t>
      </w:r>
    </w:p>
    <w:p w:rsidR="00B0629B" w:rsidRDefault="00B0629B">
      <w:pPr>
        <w:pStyle w:val="ListParagraph"/>
        <w:numPr>
          <w:ilvl w:val="0"/>
          <w:numId w:val="17"/>
        </w:numPr>
      </w:pPr>
      <w:r>
        <w:t>Produrre il rapporto (e inviarlo automaticamente per e-mail se sono stati inseriti indirizzi e-mail).</w:t>
      </w:r>
    </w:p>
    <w:p w:rsidR="00B0629B" w:rsidRDefault="00B0629B">
      <w:pPr>
        <w:pStyle w:val="ListParagraph"/>
        <w:rPr>
          <w:rFonts w:ascii="Times New Roman" w:hAnsi="Times New Roman" w:cs="Times New Roman"/>
        </w:rPr>
      </w:pPr>
    </w:p>
    <w:sectPr w:rsidR="00B0629B" w:rsidSect="00B062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401A"/>
    <w:multiLevelType w:val="hybridMultilevel"/>
    <w:tmpl w:val="763650A2"/>
    <w:lvl w:ilvl="0" w:tplc="ED043EC8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FF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76A205B"/>
    <w:multiLevelType w:val="hybridMultilevel"/>
    <w:tmpl w:val="CC6AA898"/>
    <w:lvl w:ilvl="0" w:tplc="73889896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FF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9146EAA"/>
    <w:multiLevelType w:val="hybridMultilevel"/>
    <w:tmpl w:val="A6E04E1E"/>
    <w:lvl w:ilvl="0" w:tplc="ADBA235A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A6916F2"/>
    <w:multiLevelType w:val="hybridMultilevel"/>
    <w:tmpl w:val="E01E9E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2DB700D"/>
    <w:multiLevelType w:val="hybridMultilevel"/>
    <w:tmpl w:val="D73214D8"/>
    <w:lvl w:ilvl="0" w:tplc="ADBA235A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8ED3936"/>
    <w:multiLevelType w:val="hybridMultilevel"/>
    <w:tmpl w:val="45E85926"/>
    <w:lvl w:ilvl="0" w:tplc="ADBA235A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3AD832DC"/>
    <w:multiLevelType w:val="hybridMultilevel"/>
    <w:tmpl w:val="D79E6096"/>
    <w:lvl w:ilvl="0" w:tplc="BA00363E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3FD1639"/>
    <w:multiLevelType w:val="hybridMultilevel"/>
    <w:tmpl w:val="4C9C8EDA"/>
    <w:lvl w:ilvl="0" w:tplc="ADBA235A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8036CA0"/>
    <w:multiLevelType w:val="hybridMultilevel"/>
    <w:tmpl w:val="194E0EF2"/>
    <w:lvl w:ilvl="0" w:tplc="041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>
    <w:nsid w:val="4C8A0B16"/>
    <w:multiLevelType w:val="hybridMultilevel"/>
    <w:tmpl w:val="C3B0EF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5F482313"/>
    <w:multiLevelType w:val="hybridMultilevel"/>
    <w:tmpl w:val="A6881944"/>
    <w:lvl w:ilvl="0" w:tplc="BA00363E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370C6D"/>
    <w:multiLevelType w:val="hybridMultilevel"/>
    <w:tmpl w:val="C340F808"/>
    <w:lvl w:ilvl="0" w:tplc="ADBA235A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67C8328D"/>
    <w:multiLevelType w:val="hybridMultilevel"/>
    <w:tmpl w:val="152A4530"/>
    <w:lvl w:ilvl="0" w:tplc="ADBA235A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0E70B5D"/>
    <w:multiLevelType w:val="hybridMultilevel"/>
    <w:tmpl w:val="E4DC5D8E"/>
    <w:lvl w:ilvl="0" w:tplc="0816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7512743E"/>
    <w:multiLevelType w:val="hybridMultilevel"/>
    <w:tmpl w:val="8E5CE9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773F7B11"/>
    <w:multiLevelType w:val="hybridMultilevel"/>
    <w:tmpl w:val="2A36A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78C626DE"/>
    <w:multiLevelType w:val="hybridMultilevel"/>
    <w:tmpl w:val="A5DEC780"/>
    <w:lvl w:ilvl="0" w:tplc="ADBA235A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8"/>
  </w:num>
  <w:num w:numId="3">
    <w:abstractNumId w:val="9"/>
  </w:num>
  <w:num w:numId="4">
    <w:abstractNumId w:val="14"/>
  </w:num>
  <w:num w:numId="5">
    <w:abstractNumId w:val="3"/>
  </w:num>
  <w:num w:numId="6">
    <w:abstractNumId w:val="13"/>
  </w:num>
  <w:num w:numId="7">
    <w:abstractNumId w:val="0"/>
  </w:num>
  <w:num w:numId="8">
    <w:abstractNumId w:val="12"/>
  </w:num>
  <w:num w:numId="9">
    <w:abstractNumId w:val="4"/>
  </w:num>
  <w:num w:numId="10">
    <w:abstractNumId w:val="7"/>
  </w:num>
  <w:num w:numId="11">
    <w:abstractNumId w:val="2"/>
  </w:num>
  <w:num w:numId="12">
    <w:abstractNumId w:val="16"/>
  </w:num>
  <w:num w:numId="13">
    <w:abstractNumId w:val="11"/>
  </w:num>
  <w:num w:numId="14">
    <w:abstractNumId w:val="5"/>
  </w:num>
  <w:num w:numId="15">
    <w:abstractNumId w:val="1"/>
  </w:num>
  <w:num w:numId="16">
    <w:abstractNumId w:val="6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629B"/>
    <w:rsid w:val="00B06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val="it-IT"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</TotalTime>
  <Pages>20</Pages>
  <Words>2337</Words>
  <Characters>14260</Characters>
  <Application>Microsoft Office Outlook</Application>
  <DocSecurity>0</DocSecurity>
  <Lines>0</Lines>
  <Paragraphs>0</Paragraphs>
  <ScaleCrop>false</ScaleCrop>
  <Company>La Traduction Médicale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Traduction Médicale</dc:creator>
  <cp:keywords/>
  <dc:description/>
  <cp:lastModifiedBy>Carole Maillet - La Traduction Médicale</cp:lastModifiedBy>
  <cp:revision>10</cp:revision>
  <dcterms:created xsi:type="dcterms:W3CDTF">2012-08-08T11:47:00Z</dcterms:created>
  <dcterms:modified xsi:type="dcterms:W3CDTF">2012-08-08T13:24:00Z</dcterms:modified>
</cp:coreProperties>
</file>